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Надставка настольная; 31.01.12.190 - Подставка под системный блок</w:t>
        <w:br/>
        <w:br/>
        <w:t>-------------------------</w:t>
        <w:br/>
        <w:br/>
        <w:t>Найдено в ООЗ:</w:t>
        <w:br/>
        <w:t>31.01.12.190 - Надставка настольная; 31.01.12.190 - Подставка под системный блок</w:t>
        <w:br/>
        <w:br/>
        <w:t>-------------------------</w:t>
        <w:br/>
        <w:br/>
        <w:t>Ошибки:</w:t>
        <w:br/>
        <w:t>- в Контракте и ООЗ отсутствуют коды ОКПД: 31.01.11.150, 31.01.12.110, 31.01.12.131, 31.01.12.139, 31.01.12.150</w:t>
        <w:br/>
        <w:t>- не обнаружены несоответствия наименований для указанных кодов 31.01.12.190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и ООЗ отсутствует позиция КТРУ 31.01.11.150-00000003 (Стул на металлическом каркасе)</w:t>
        <w:br/>
        <w:t>- не обнаружены несоответствия кодов и наименований по представленным позициям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ОМНЦК:</w:t>
        <w:br/>
        <w:t>Стол письменный - 1 шт.; Надставка настольная - 7 шт.; Стол письменный - 12 шт.; Тумба офисная деревянная - 12 шт.; Тумба офисная деревянная - 4 шт.; Подставка под системный блок - 14 шт.; Кресло офисное - 7 шт.; Шкаф для одежды деревянный - 4 шт.; Шкаф для одежды деревянный - 2 шт.; Шкаф деревянный для документов - 1 шт.; Шкаф деревянный для документов - 1 шт.; Шкаф деревянный для документов - 2 шт.; Тумба офисная деревянная - 3 шт.; Стул на металлическом каркасе - 4 шт.; Шкаф для одежды деревянный - 1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Проверка товаров и количества в ОМНЦК: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ОМНЦК:</w:t>
        <w:br/>
        <w:t>Стол письменный - 1 шт.; Надставка настольная - 7 шт.; Стол письменный - 12 шт.; Тумба офисная деревянная - 12 шт.; Тумба офисная деревянная - 4 шт.; Подставка под системный блок - 14 шт.; Кресло офисное - 7 шт.; Шкаф для одежды деревянный - 4 шт.; Шкаф для одежды деревянный - 2 шт.; Шкаф деревянный для документов - 1 шт.; Шкаф деревянный для документов - 1 шт.; Шкаф деревянный для документов - 2 шт.; Тумба офисная деревянная - 3 шт.; Стул на металлическом каркасе - 4 шт.; Шкаф для одежды деревянный - 1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закупки, chunk_id=0] Начальная (максимальная) цена контракта: 548 547 рублей 00 копеек</w:t>
        <w:br/>
        <w:t>2. [source=ОНМЦК, chunk_id=1] Начальная (максимальная) цена контракта 548 547 рублей 00 копеек</w:t>
        <w:br/>
        <w:t>3. [source=Пояснительная записка, chunk_id=3]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[source=Контракт, chunk_id=0] в срок в течение 45 (сорока пяти) календарных дней с даты заключения Контракта</w:t>
        <w:br/>
        <w:t>2. [source=ООЗ, chunk_id=1] Срок поставки: в течение 45 (сорока пяти) календарных дней с даты заключения контракта</w:t>
        <w:br/>
        <w:t>3. [source=Пояснительная записка, chunk_id=2] Срок поставки: в течение 45 (сорока пяти) календарных дней с даты заключения Контракта</w:t>
        <w:br/>
        <w:t>4. [source=Контракт, chunk_id=3] Срок поставки: в течение 45 календарных дней с даты заключения контракта</w:t>
        <w:br/>
        <w:t>5. [source=Пояснительная записка, chunk_id=4] Срок поставки: в течение 45 (сорока пяти) календарных дней с даты заключения Контракта</w:t>
        <w:br/>
        <w:t>6. [source=Контракт, chunk_id=5] в срок в течение 45 (сорока пяти) календарных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