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eastAsia="Calibri" w:cs="Times New Roman"/>
          <w:b/>
          <w:sz w:val="22"/>
          <w:szCs w:val="22"/>
          <w:lang w:val="ru-RU" w:eastAsia="en-US"/>
        </w:rPr>
      </w:pPr>
      <w:r>
        <w:rPr>
          <w:rFonts w:ascii="Times New Roman" w:hAnsi="Times New Roman" w:eastAsia="Calibri" w:cs="Times New Roman"/>
          <w:b/>
          <w:sz w:val="22"/>
          <w:szCs w:val="22"/>
          <w:lang w:val="ru-RU" w:eastAsia="en-US"/>
        </w:rPr>
      </w:r>
      <w:r>
        <w:rPr>
          <w:rFonts w:ascii="Times New Roman" w:hAnsi="Times New Roman" w:eastAsia="Calibri" w:cs="Times New Roman"/>
          <w:b/>
          <w:sz w:val="22"/>
          <w:szCs w:val="22"/>
          <w:lang w:val="ru-RU" w:eastAsia="en-US"/>
        </w:rPr>
      </w:r>
    </w:p>
    <w:p>
      <w:pPr>
        <w:jc w:val="center"/>
        <w:rPr>
          <w:rFonts w:ascii="Times New Roman" w:hAnsi="Times New Roman" w:eastAsia="Calibri" w:cs="Times New Roman"/>
          <w:sz w:val="24"/>
          <w:szCs w:val="24"/>
          <w:lang w:val="ru-RU" w:eastAsia="en-US"/>
        </w:rPr>
      </w:pPr>
      <w:r>
        <w:rPr>
          <w:rFonts w:ascii="Times New Roman" w:hAnsi="Times New Roman" w:eastAsia="Calibri" w:cs="Times New Roman"/>
          <w:b/>
          <w:sz w:val="24"/>
          <w:szCs w:val="24"/>
          <w:lang w:val="ru-RU" w:eastAsia="en-US"/>
        </w:rPr>
        <w:t xml:space="preserve">ОПИСАНИЕ ОБЪЕКТА ЗАКУПКИ</w:t>
      </w: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  <w:br/>
      </w:r>
      <w:r>
        <w:rPr>
          <w:rFonts w:ascii="Times New Roman" w:hAnsi="Times New Roman" w:eastAsia="Calibri" w:cs="Times New Roman"/>
          <w:sz w:val="24"/>
          <w:szCs w:val="24"/>
          <w:lang w:val="ru-RU" w:eastAsia="en-US"/>
        </w:rPr>
      </w:r>
    </w:p>
    <w:p>
      <w:pPr>
        <w:pStyle w:val="66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Наименование: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 xml:space="preserve">поставка </w:t>
      </w: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 xml:space="preserve">моноблоков</w:t>
      </w: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pStyle w:val="66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Место</w:t>
      </w:r>
      <w:r>
        <w:rPr>
          <w:rFonts w:ascii="Times New Roman" w:hAnsi="Times New Roman"/>
          <w:b/>
          <w:sz w:val="24"/>
          <w:szCs w:val="24"/>
        </w:rPr>
        <w:t xml:space="preserve"> поставки: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Российская Федерация, </w:t>
      </w:r>
      <w:r>
        <w:rPr>
          <w:rFonts w:ascii="Times New Roman" w:hAnsi="Times New Roman"/>
          <w:sz w:val="24"/>
          <w:szCs w:val="24"/>
        </w:rPr>
        <w:t xml:space="preserve">обл Новосибирская, г.о. город Новосибирск, г Новосибирск, пер Архонский, д. 5.</w:t>
      </w:r>
      <w:r>
        <w:rPr>
          <w:rFonts w:ascii="Times New Roman" w:hAnsi="Times New Roman"/>
          <w:sz w:val="24"/>
          <w:szCs w:val="24"/>
        </w:rPr>
      </w:r>
    </w:p>
    <w:p>
      <w:pPr>
        <w:pStyle w:val="66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Срок поставки: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 течение </w:t>
      </w:r>
      <w:r>
        <w:rPr>
          <w:rFonts w:ascii="Times New Roman" w:hAnsi="Times New Roman"/>
          <w:sz w:val="24"/>
          <w:szCs w:val="24"/>
        </w:rPr>
        <w:t xml:space="preserve">6</w:t>
      </w:r>
      <w:r>
        <w:rPr>
          <w:rFonts w:ascii="Times New Roman" w:hAnsi="Times New Roman"/>
          <w:sz w:val="24"/>
          <w:szCs w:val="24"/>
        </w:rPr>
        <w:t xml:space="preserve">0</w:t>
      </w:r>
      <w:r>
        <w:rPr>
          <w:rFonts w:ascii="Times New Roman" w:hAnsi="Times New Roman"/>
          <w:sz w:val="24"/>
          <w:szCs w:val="24"/>
        </w:rPr>
        <w:t xml:space="preserve"> (шестидесяти</w:t>
      </w:r>
      <w:bookmarkStart w:id="0" w:name="_GoBack"/>
      <w:r/>
      <w:bookmarkEnd w:id="0"/>
      <w:r>
        <w:rPr>
          <w:rFonts w:ascii="Times New Roman" w:hAnsi="Times New Roman"/>
          <w:sz w:val="24"/>
          <w:szCs w:val="24"/>
        </w:rPr>
        <w:t xml:space="preserve">)</w:t>
      </w:r>
      <w:r>
        <w:rPr>
          <w:rFonts w:ascii="Times New Roman" w:hAnsi="Times New Roman"/>
          <w:sz w:val="24"/>
          <w:szCs w:val="24"/>
        </w:rPr>
        <w:t xml:space="preserve"> календарных дней с даты заключения Контракта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b/>
          <w:color w:val="ff0000"/>
          <w:sz w:val="24"/>
          <w:szCs w:val="24"/>
        </w:rPr>
      </w:r>
    </w:p>
    <w:p>
      <w:pPr>
        <w:pStyle w:val="66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КТРУ: </w:t>
      </w:r>
      <w:r>
        <w:rPr>
          <w:rFonts w:ascii="Times New Roman" w:hAnsi="Times New Roman"/>
          <w:sz w:val="24"/>
          <w:szCs w:val="24"/>
        </w:rPr>
        <w:t xml:space="preserve">26.20.15.000-00000037 Компьютер персональный настольный (моноблок)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b/>
          <w:color w:val="ff0000"/>
          <w:sz w:val="24"/>
          <w:szCs w:val="24"/>
        </w:rPr>
      </w:r>
    </w:p>
    <w:p>
      <w:pPr>
        <w:pStyle w:val="66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Функциональные, технические и качественные характеристики: </w:t>
      </w:r>
      <w:r>
        <w:rPr>
          <w:rFonts w:ascii="Times New Roman" w:hAnsi="Times New Roman"/>
          <w:b/>
          <w:color w:val="ff0000"/>
          <w:sz w:val="24"/>
          <w:szCs w:val="24"/>
        </w:rPr>
      </w:r>
    </w:p>
    <w:p>
      <w:pPr>
        <w:pStyle w:val="663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Таблица №1 Описание Товара</w:t>
      </w:r>
      <w:r>
        <w:rPr>
          <w:rFonts w:ascii="Times New Roman" w:hAnsi="Times New Roman"/>
          <w:b/>
          <w:sz w:val="24"/>
          <w:szCs w:val="24"/>
        </w:rPr>
      </w:r>
    </w:p>
    <w:tbl>
      <w:tblPr>
        <w:tblStyle w:val="664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2551"/>
        <w:gridCol w:w="1843"/>
        <w:gridCol w:w="2268"/>
      </w:tblGrid>
      <w:tr>
        <w:tblPrEx/>
        <w:trPr>
          <w:trHeight w:val="477"/>
        </w:trPr>
        <w:tc>
          <w:tcPr>
            <w:tcW w:w="184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  <w:t xml:space="preserve">Наименование товара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r>
          </w:p>
        </w:tc>
        <w:tc>
          <w:tcPr>
            <w:tcW w:w="141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  <w:t xml:space="preserve">Количество,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  <w:t xml:space="preserve">штук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r>
          </w:p>
        </w:tc>
        <w:tc>
          <w:tcPr>
            <w:tcW w:w="2551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  <w:t xml:space="preserve">Наименование характеристики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  <w:t xml:space="preserve">Значение характеристики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  <w:t xml:space="preserve">Единица измерения характеристики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2"/>
                <w:lang w:val="ru-RU"/>
              </w:rPr>
            </w:r>
          </w:p>
        </w:tc>
      </w:tr>
      <w:tr>
        <w:tblPrEx/>
        <w:trPr>
          <w:trHeight w:val="260"/>
        </w:trPr>
        <w:tc>
          <w:tcPr>
            <w:tcW w:w="1843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Компьютер персональный настольный (моноблок)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Диагональ экрана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23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Дюйм (25,4 мм)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315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Разрешение экрана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≥1920 x 1080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315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Технология изготовления матрицы дисплея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  <w:t xml:space="preserve">IPS (PLS, ADS, AAS, FFS, SFT, New Mode2, Vistarich)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eastAsia="en-US"/>
              </w:rPr>
            </w:r>
          </w:p>
        </w:tc>
      </w:tr>
      <w:tr>
        <w:tblPrEx/>
        <w:trPr>
          <w:trHeight w:val="315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Максимальная регулировка экрана по высоте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130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Миллиметр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26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Возможность поворота экрана в портретный режим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Да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26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Количество ядер процессора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4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Штука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26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Количество потоков процессора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8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Штука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26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Частота процессора базовая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3.3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Гигагерц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26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Частота процессора максимальная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4.3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Гигагерц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26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Объем кэш памяти третьего уровня процессора (L3)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12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Мегабайт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26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Тепловыделение процессора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≤ 60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Ватт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26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Тип оперативной памяти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DDR5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26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Объем установленной оперативной памяти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16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Гигабайт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567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Тактовая частота оперативной памяти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3200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138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Максимальный объем оперативной памяти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64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Гигабайт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138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Количество накопителей типа SSD, установленных внутри корпуса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1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Штука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138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Интерфейс накопителя SSD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NVMe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Объем накопителя SSD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480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Гигабайт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276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Беспроводная связь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Bluetooth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Wi-Fi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417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Наличие встроенных выходных видео разъемов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HDMI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Display Port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Наличие встроенного входного разъема HDMI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Нет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Разрешение вэб-камеры, Мпиксель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5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Количество встроенных в корпус портов USB 2.0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4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Штука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23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Количество встроенных в корпус портов USB 3.2 Gen 1 Type-A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1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Штука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Количество встроенных в корпус портов USB 3.2 Gen 1 Type-C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2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Штука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Количество встроенных в корпус портов USB 3.2 Gen 2х2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2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Штука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Количество встроенных в корпус портов COM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≥ 1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Штука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138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Возможность механической блокировки видеопотока встроенной камеры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Да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2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Возможность наклона встроенной камеры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Да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Наличие в корпусе порта Gigabit Ethernet 8P8C (RJ-45)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Да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Наличие встроенного картридера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Да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Настенное крепление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Да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Наличие клавиатуры с раскладкой QWERTY/ЙЦУКЕН в комплекте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Да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  <w:tr>
        <w:tblPrEx/>
        <w:trPr>
          <w:trHeight w:val="70"/>
        </w:trPr>
        <w:tc>
          <w:tcPr>
            <w:tcW w:w="1843" w:type="dxa"/>
            <w:vMerge w:val="continue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r>
          </w:p>
        </w:tc>
        <w:tc>
          <w:tcPr>
            <w:tcW w:w="1418" w:type="dxa"/>
            <w:vMerge w:val="continue"/>
            <w:textDirection w:val="lrTb"/>
            <w:noWrap w:val="false"/>
          </w:tcPr>
          <w:p>
            <w:pPr>
              <w:pStyle w:val="663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W w:w="255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Наличие манипулятора мышь в комплекте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184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Да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  <w:tc>
          <w:tcPr>
            <w:shd w:val="clear" w:color="auto" w:fill="auto"/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  <w:t xml:space="preserve"> 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ru-RU" w:eastAsia="en-US"/>
              </w:rPr>
            </w:r>
          </w:p>
        </w:tc>
      </w:tr>
    </w:tbl>
    <w:p>
      <w:pPr>
        <w:pStyle w:val="663"/>
        <w:ind w:left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  <w:r>
        <w:rPr>
          <w:rFonts w:ascii="Times New Roman" w:hAnsi="Times New Roman"/>
          <w:b/>
        </w:rPr>
      </w:r>
    </w:p>
    <w:p>
      <w:pPr>
        <w:pStyle w:val="663"/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Условия поставки Товара:</w:t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Поставщик не менее чем за 2 (два) рабочих дня до осуществления поставки Товара направляет в адрес Заказчика уведомление о времени и дате доставки Товара в место доставки. </w:t>
      </w:r>
      <w:r>
        <w:rPr>
          <w:rFonts w:ascii="Times New Roman" w:hAnsi="Times New Roman"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Доставка Товара до места передачи Товара производится силами и средствами Поставщика в рабочие дни Заказчика с 09-00 до 16-00 часов по Новосибирск</w:t>
      </w:r>
      <w:r>
        <w:rPr>
          <w:rFonts w:ascii="Times New Roman" w:hAnsi="Times New Roman"/>
          <w:sz w:val="24"/>
          <w:szCs w:val="24"/>
        </w:rPr>
        <w:t xml:space="preserve">ому времени</w: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Поставщик также обязуется обеспечить разгруз</w:t>
      </w:r>
      <w:r>
        <w:rPr>
          <w:rFonts w:ascii="Times New Roman" w:hAnsi="Times New Roman"/>
          <w:sz w:val="24"/>
          <w:szCs w:val="24"/>
        </w:rPr>
        <w:t xml:space="preserve">ку Товара по месту поставки, указанному в п. 2. описания объекта закупки. В случае наличия у Заказчика обстоятельств, препятствующих доставке товара в предлагаемые Поставщиком время и дату, Заказчик предлагает иные время и дату доставки, не противоречащие </w:t>
      </w:r>
      <w:r>
        <w:rPr>
          <w:rFonts w:ascii="Times New Roman" w:hAnsi="Times New Roman"/>
          <w:sz w:val="24"/>
          <w:szCs w:val="24"/>
        </w:rPr>
        <w:t xml:space="preserve">сроку поставки Товара по Контракту.</w:t>
      </w:r>
      <w:r>
        <w:rPr>
          <w:rFonts w:ascii="Times New Roman" w:hAnsi="Times New Roman"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Каждая единица поставляемого Товара соответствует по качеству, комплектности и техническим условиям изготовителя. </w:t>
      </w:r>
      <w:r>
        <w:rPr>
          <w:rFonts w:ascii="Times New Roman" w:hAnsi="Times New Roman"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Каждая единица поставляемого Товара упакована в стандартную заводскую упаковку. Упаковка обеспечивает его сохранность при транспортировке и хранении. </w:t>
      </w:r>
      <w:r>
        <w:rPr>
          <w:rFonts w:ascii="Times New Roman" w:hAnsi="Times New Roman"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Товары пригодны для целей, для которых товары такого рода обычно используются, и соответствуют заявленным техническим характеристикам.</w:t>
      </w:r>
      <w:r>
        <w:rPr>
          <w:rFonts w:ascii="Times New Roman" w:hAnsi="Times New Roman"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tabs>
          <w:tab w:val="clear" w:pos="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Поставляемый Товар должен быть новым товаром (товаром, который не был в употреблении, в ремонте, в том числе который не был восстановлен, у которого не была осуществлена замена составных частей, не были восстановлены потребительские свойства). 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Качество товара, поставляемого Заказчику в соответствии с описанием объекта закупки, соответствует законодательству Российской Федерации.</w:t>
      </w:r>
      <w:r>
        <w:rPr>
          <w:rFonts w:ascii="Times New Roman" w:hAnsi="Times New Roman"/>
          <w:sz w:val="24"/>
          <w:szCs w:val="24"/>
        </w:rPr>
      </w:r>
    </w:p>
    <w:p>
      <w:pPr>
        <w:pStyle w:val="663"/>
        <w:numPr>
          <w:ilvl w:val="0"/>
          <w:numId w:val="1"/>
        </w:numPr>
        <w:ind w:left="0"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Требования к гарантии на Товар:</w:t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На Товар установлена гарантия Производителя –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не менее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12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двенадцати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 месяцев с даты подписания документа о приемке.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На Товар установлена гарантия Поставщика –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не менее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12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двенадцати)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месяцев с даты подписания документа о приемке, но не менее срока предоставления гарантии Производителя.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Поставщик гарантирует возможность безопасного использования Товара по назначению в течение всего гарантийного срока.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В период действия гарантийного срока замена Товара или ремо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нт любой неисправной части Товара осуществляется Поставщиком за его счет, если неисправность не является результатом действия непреодолимой силы, небрежности, неправильного обращения, внесения изменений или повреждения со стороны Заказчика или третьих лиц.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В течение гарантийного срока в случае возникновения неисправностей в работе поставленного Товара представитель Поставщика 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прибывает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 в течение 5 (пяти) календарных дней с даты поступления заявки от представителя Заказчика по месту нахождения Товара для устранения возникших неисправностей в работе Товара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. В случае невозможности устранения недостатков на месте Поставщик (его представитель) за счет собственных средств осуществляет доставку Товара до места проведения необходимого ремонта, производит необходимый ремонт и после его завершения возвращает Товар.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Срок ремонта поставленного Товара не 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превышает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 5 (пяти) календарных дней. В случае невозможности произвести ремонт в указанный срок Заказчику предоставляется функционально и технически идентичный Товар на время ремонта.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Если Заказчик был лишен возможности использовать Товар, в отношении которого установлен гарантийный срок, по обстоятельствам, зависящим от Поставщика, течение гарантийного срока приостанавливается до устранения соответствующих обстоятельств Поставщиком.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pStyle w:val="663"/>
        <w:numPr>
          <w:ilvl w:val="1"/>
          <w:numId w:val="1"/>
        </w:numPr>
        <w:ind w:left="0" w:firstLine="709"/>
        <w:jc w:val="both"/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Если в период действия гарантийного срока Поставщик осуществляет замену или ремонт какой-либо части Товара, на такую замененну</w:t>
      </w:r>
      <w:r>
        <w:rPr>
          <w:rFonts w:ascii="Times New Roman" w:hAnsi="Times New Roman" w:eastAsia="SimSun"/>
          <w:color w:val="000000"/>
          <w:sz w:val="24"/>
          <w:szCs w:val="24"/>
          <w:lang w:eastAsia="ko-KR"/>
        </w:rPr>
        <w:t xml:space="preserve">ю или отремонтированную часть Товара Поставщик предоставляет гарантию. При этом срок гарантии на замененную или отремонтированную часть Товара устанавливается Поставщиком или Производителем детали Товара, но не менее срока гарантии на оборудование в целом.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val="ru-RU" w:eastAsia="ko-KR"/>
        </w:rPr>
        <w:t xml:space="preserve">Все расходы, связанные с возвратом, ремонтом Товара ненадлежащего качества, осуществляются за счет Поставщика.</w:t>
      </w:r>
      <w:r>
        <w:rPr>
          <w:rFonts w:ascii="Times New Roman" w:hAnsi="Times New Roman" w:cs="Times New Roman"/>
          <w:b/>
          <w:sz w:val="24"/>
          <w:szCs w:val="24"/>
          <w:lang w:val="ru-RU"/>
        </w:rPr>
      </w:r>
    </w:p>
    <w:p>
      <w:pPr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22"/>
          <w:szCs w:val="22"/>
          <w:lang w:val="ru-RU"/>
        </w:rPr>
      </w:r>
      <w:r>
        <w:rPr>
          <w:rFonts w:ascii="Times New Roman" w:hAnsi="Times New Roman" w:cs="Times New Roman"/>
          <w:sz w:val="22"/>
          <w:szCs w:val="22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134" w:header="0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egoe UI">
    <w:panose1 w:val="020B0502040504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360"/>
      </w:pPr>
      <w:rPr>
        <w:rFonts w:hint="default" w:cs="Times New Roman"/>
      </w:rPr>
    </w:lvl>
    <w:lvl w:ilvl="2">
      <w:start w:val="1"/>
      <w:numFmt w:val="decimal"/>
      <w:isLgl/>
      <w:suff w:val="tab"/>
      <w:lvlText w:val="%1.%2.%3."/>
      <w:lvlJc w:val="left"/>
      <w:pPr>
        <w:ind w:left="1800" w:hanging="720"/>
      </w:pPr>
      <w:rPr>
        <w:rFonts w:hint="default" w:cs="Times New Roman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 w:cs="Times New Roman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 w:cs="Times New Roman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 w:cs="Times New Roman"/>
      </w:rPr>
    </w:lvl>
    <w:lvl w:ilvl="6">
      <w:start w:val="1"/>
      <w:numFmt w:val="decimal"/>
      <w:isLgl/>
      <w:suff w:val="tab"/>
      <w:lvlText w:val="%1.%2.%3.%4.%5.%6.%7."/>
      <w:lvlJc w:val="left"/>
      <w:pPr>
        <w:ind w:left="3960" w:hanging="1440"/>
      </w:pPr>
      <w:rPr>
        <w:rFonts w:hint="default" w:cs="Times New Roman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 w:cs="Times New Roman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5040" w:hanging="1800"/>
      </w:pPr>
      <w:rPr>
        <w:rFonts w:hint="default" w:cs="Times New Roman"/>
      </w:rPr>
    </w:lvl>
  </w:abstractNum>
  <w:abstractNum w:abstractNumId="1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  <w:rPr>
        <w:b/>
        <w:color w:val="auto"/>
      </w:rPr>
    </w:lvl>
    <w:lvl w:ilvl="1">
      <w:start w:val="1"/>
      <w:numFmt w:val="decimal"/>
      <w:isLgl w:val="false"/>
      <w:suff w:val="space"/>
      <w:lvlText w:val="%1.%2."/>
      <w:lvlJc w:val="left"/>
      <w:pPr>
        <w:ind w:left="1080" w:hanging="360"/>
        <w:tabs>
          <w:tab w:val="num" w:pos="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  <w:tabs>
          <w:tab w:val="num" w:pos="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  <w:tabs>
          <w:tab w:val="num" w:pos="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  <w:tabs>
          <w:tab w:val="num" w:pos="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  <w:tabs>
          <w:tab w:val="num" w:pos="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  <w:tabs>
          <w:tab w:val="num" w:pos="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  <w:tabs>
          <w:tab w:val="num" w:pos="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  <w:tabs>
          <w:tab w:val="num" w:pos="0" w:leader="none"/>
        </w:tabs>
      </w:pPr>
      <w:rPr>
        <w:rFonts w:cs="Times New Roman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59"/>
    <w:next w:val="65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60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59"/>
    <w:next w:val="65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60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59"/>
    <w:next w:val="65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60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59"/>
    <w:next w:val="65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60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59"/>
    <w:next w:val="65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60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59"/>
    <w:next w:val="65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60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59"/>
    <w:next w:val="65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6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59"/>
    <w:next w:val="65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6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59"/>
    <w:next w:val="65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6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59"/>
    <w:next w:val="65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60"/>
    <w:link w:val="34"/>
    <w:uiPriority w:val="10"/>
    <w:rPr>
      <w:sz w:val="48"/>
      <w:szCs w:val="48"/>
    </w:rPr>
  </w:style>
  <w:style w:type="paragraph" w:styleId="36">
    <w:name w:val="Subtitle"/>
    <w:basedOn w:val="659"/>
    <w:next w:val="65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60"/>
    <w:link w:val="36"/>
    <w:uiPriority w:val="11"/>
    <w:rPr>
      <w:sz w:val="24"/>
      <w:szCs w:val="24"/>
    </w:rPr>
  </w:style>
  <w:style w:type="paragraph" w:styleId="38">
    <w:name w:val="Quote"/>
    <w:basedOn w:val="659"/>
    <w:next w:val="65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59"/>
    <w:next w:val="65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5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60"/>
    <w:link w:val="42"/>
    <w:uiPriority w:val="99"/>
  </w:style>
  <w:style w:type="paragraph" w:styleId="44">
    <w:name w:val="Footer"/>
    <w:basedOn w:val="65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60"/>
    <w:link w:val="44"/>
    <w:uiPriority w:val="99"/>
  </w:style>
  <w:style w:type="paragraph" w:styleId="46">
    <w:name w:val="Caption"/>
    <w:basedOn w:val="659"/>
    <w:next w:val="65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6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6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6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6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character" w:styleId="176">
    <w:name w:val="Footnote Text Char"/>
    <w:link w:val="672"/>
    <w:uiPriority w:val="99"/>
    <w:rPr>
      <w:sz w:val="18"/>
    </w:rPr>
  </w:style>
  <w:style w:type="paragraph" w:styleId="178">
    <w:name w:val="endnote text"/>
    <w:basedOn w:val="65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60"/>
    <w:uiPriority w:val="99"/>
    <w:semiHidden/>
    <w:unhideWhenUsed/>
    <w:rPr>
      <w:vertAlign w:val="superscript"/>
    </w:rPr>
  </w:style>
  <w:style w:type="paragraph" w:styleId="181">
    <w:name w:val="toc 1"/>
    <w:basedOn w:val="659"/>
    <w:next w:val="65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59"/>
    <w:next w:val="65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59"/>
    <w:next w:val="65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59"/>
    <w:next w:val="65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59"/>
    <w:next w:val="65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59"/>
    <w:next w:val="65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59"/>
    <w:next w:val="65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59"/>
    <w:next w:val="65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59"/>
    <w:next w:val="65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59"/>
    <w:next w:val="659"/>
    <w:uiPriority w:val="99"/>
    <w:unhideWhenUsed/>
    <w:pPr>
      <w:spacing w:after="0" w:afterAutospacing="0"/>
    </w:pPr>
  </w:style>
  <w:style w:type="paragraph" w:styleId="659" w:default="1">
    <w:name w:val="Normal"/>
    <w:qFormat/>
    <w:rPr>
      <w:rFonts w:ascii="Arial" w:hAnsi="Arial" w:eastAsia="Arial" w:cs="Arial"/>
      <w:sz w:val="20"/>
      <w:szCs w:val="20"/>
      <w:lang w:val="en-US" w:eastAsia="ru-RU"/>
    </w:rPr>
  </w:style>
  <w:style w:type="character" w:styleId="660" w:default="1">
    <w:name w:val="Default Paragraph Font"/>
    <w:uiPriority w:val="1"/>
    <w:semiHidden/>
    <w:unhideWhenUsed/>
  </w:style>
  <w:style w:type="table" w:styleId="66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2" w:default="1">
    <w:name w:val="No List"/>
    <w:uiPriority w:val="99"/>
    <w:semiHidden/>
    <w:unhideWhenUsed/>
  </w:style>
  <w:style w:type="paragraph" w:styleId="663">
    <w:name w:val="List Paragraph"/>
    <w:basedOn w:val="659"/>
    <w:uiPriority w:val="34"/>
    <w:qFormat/>
    <w:pPr>
      <w:contextualSpacing/>
      <w:ind w:left="720"/>
    </w:pPr>
    <w:rPr>
      <w:rFonts w:ascii="Calibri" w:hAnsi="Calibri" w:eastAsia="Calibri" w:cs="Times New Roman"/>
      <w:sz w:val="22"/>
      <w:szCs w:val="22"/>
      <w:lang w:val="ru-RU" w:eastAsia="en-US"/>
    </w:rPr>
  </w:style>
  <w:style w:type="table" w:styleId="664">
    <w:name w:val="Table Grid"/>
    <w:basedOn w:val="66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665" w:customStyle="1">
    <w:name w:val="hgkelc"/>
    <w:basedOn w:val="660"/>
  </w:style>
  <w:style w:type="character" w:styleId="666">
    <w:name w:val="annotation reference"/>
    <w:basedOn w:val="660"/>
    <w:uiPriority w:val="99"/>
    <w:semiHidden/>
    <w:unhideWhenUsed/>
    <w:rPr>
      <w:sz w:val="16"/>
      <w:szCs w:val="16"/>
    </w:rPr>
  </w:style>
  <w:style w:type="paragraph" w:styleId="667">
    <w:name w:val="annotation text"/>
    <w:basedOn w:val="659"/>
    <w:link w:val="668"/>
    <w:uiPriority w:val="99"/>
    <w:unhideWhenUsed/>
    <w:pPr>
      <w:spacing w:line="240" w:lineRule="auto"/>
    </w:pPr>
  </w:style>
  <w:style w:type="character" w:styleId="668" w:customStyle="1">
    <w:name w:val="Текст примечания Знак"/>
    <w:basedOn w:val="660"/>
    <w:link w:val="667"/>
    <w:uiPriority w:val="99"/>
    <w:rPr>
      <w:rFonts w:ascii="Arial" w:hAnsi="Arial" w:eastAsia="Arial" w:cs="Arial"/>
      <w:sz w:val="20"/>
      <w:szCs w:val="20"/>
      <w:lang w:val="en-US" w:eastAsia="ru-RU"/>
    </w:rPr>
  </w:style>
  <w:style w:type="paragraph" w:styleId="669">
    <w:name w:val="annotation subject"/>
    <w:basedOn w:val="667"/>
    <w:next w:val="667"/>
    <w:link w:val="670"/>
    <w:uiPriority w:val="99"/>
    <w:semiHidden/>
    <w:unhideWhenUsed/>
    <w:rPr>
      <w:b/>
      <w:bCs/>
    </w:rPr>
  </w:style>
  <w:style w:type="character" w:styleId="670" w:customStyle="1">
    <w:name w:val="Тема примечания Знак"/>
    <w:basedOn w:val="668"/>
    <w:link w:val="669"/>
    <w:uiPriority w:val="99"/>
    <w:semiHidden/>
    <w:rPr>
      <w:rFonts w:ascii="Arial" w:hAnsi="Arial" w:eastAsia="Arial" w:cs="Arial"/>
      <w:b/>
      <w:bCs/>
      <w:sz w:val="20"/>
      <w:szCs w:val="20"/>
      <w:lang w:val="en-US" w:eastAsia="ru-RU"/>
    </w:rPr>
  </w:style>
  <w:style w:type="paragraph" w:styleId="671">
    <w:name w:val="Revision"/>
    <w:hidden/>
    <w:uiPriority w:val="99"/>
    <w:semiHidden/>
    <w:pPr>
      <w:spacing w:after="0" w:line="240" w:lineRule="auto"/>
    </w:pPr>
    <w:rPr>
      <w:rFonts w:ascii="Arial" w:hAnsi="Arial" w:eastAsia="Arial" w:cs="Arial"/>
      <w:sz w:val="20"/>
      <w:szCs w:val="20"/>
      <w:lang w:val="en-US" w:eastAsia="ru-RU"/>
    </w:rPr>
  </w:style>
  <w:style w:type="paragraph" w:styleId="672">
    <w:name w:val="footnote text"/>
    <w:basedOn w:val="659"/>
    <w:link w:val="673"/>
    <w:uiPriority w:val="99"/>
    <w:semiHidden/>
    <w:unhideWhenUsed/>
    <w:pPr>
      <w:spacing w:after="0" w:line="240" w:lineRule="auto"/>
    </w:pPr>
  </w:style>
  <w:style w:type="character" w:styleId="673" w:customStyle="1">
    <w:name w:val="Текст сноски Знак"/>
    <w:basedOn w:val="660"/>
    <w:link w:val="672"/>
    <w:uiPriority w:val="99"/>
    <w:semiHidden/>
    <w:rPr>
      <w:rFonts w:ascii="Arial" w:hAnsi="Arial" w:eastAsia="Arial" w:cs="Arial"/>
      <w:sz w:val="20"/>
      <w:szCs w:val="20"/>
      <w:lang w:val="en-US" w:eastAsia="ru-RU"/>
    </w:rPr>
  </w:style>
  <w:style w:type="character" w:styleId="674">
    <w:name w:val="footnote reference"/>
    <w:basedOn w:val="660"/>
    <w:uiPriority w:val="99"/>
    <w:semiHidden/>
    <w:unhideWhenUsed/>
    <w:rPr>
      <w:vertAlign w:val="superscript"/>
    </w:rPr>
  </w:style>
  <w:style w:type="paragraph" w:styleId="675">
    <w:name w:val="Balloon Text"/>
    <w:basedOn w:val="659"/>
    <w:link w:val="67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76" w:customStyle="1">
    <w:name w:val="Текст выноски Знак"/>
    <w:basedOn w:val="660"/>
    <w:link w:val="675"/>
    <w:uiPriority w:val="99"/>
    <w:semiHidden/>
    <w:rPr>
      <w:rFonts w:ascii="Segoe UI" w:hAnsi="Segoe UI" w:eastAsia="Arial" w:cs="Segoe UI"/>
      <w:sz w:val="18"/>
      <w:szCs w:val="18"/>
      <w:lang w:val="en-US"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A6EB9-F547-4F7C-B0DD-80148270C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PNO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Денисенко Дмитрий Евгеньевич</dc:creator>
  <cp:keywords/>
  <dc:description/>
  <cp:revision>8</cp:revision>
  <dcterms:created xsi:type="dcterms:W3CDTF">2025-12-15T04:26:00Z</dcterms:created>
  <dcterms:modified xsi:type="dcterms:W3CDTF">2026-03-24T04:32:53Z</dcterms:modified>
</cp:coreProperties>
</file>