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«Самарский национальный исследовательский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имени академика С.П. Королева»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line="240" w:lineRule="auto"/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(Самарский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Институт _______________________________________</w:t>
      </w:r>
    </w:p>
    <w:p w:rsidR="00000000" w:rsidDel="00000000" w:rsidP="00000000" w:rsidRDefault="00000000" w:rsidRPr="00000000" w14:paraId="00000007">
      <w:pPr>
        <w:spacing w:after="160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________________________________________</w:t>
      </w:r>
    </w:p>
    <w:p w:rsidR="00000000" w:rsidDel="00000000" w:rsidP="00000000" w:rsidRDefault="00000000" w:rsidRPr="00000000" w14:paraId="00000008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лабораторной работе № 0</w:t>
      </w:r>
    </w:p>
    <w:p w:rsidR="00000000" w:rsidDel="00000000" w:rsidP="00000000" w:rsidRDefault="00000000" w:rsidRPr="00000000" w14:paraId="0000000A">
      <w:pPr>
        <w:spacing w:after="36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дисциплине «Технологии сетевого программирования»</w:t>
      </w:r>
    </w:p>
    <w:p w:rsidR="00000000" w:rsidDel="00000000" w:rsidP="00000000" w:rsidRDefault="00000000" w:rsidRPr="00000000" w14:paraId="0000000B">
      <w:pPr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Выбор и описание предметной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Проектирование функционала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Проект «ТехОчередь» — распределённая система учёта заявок</w:t>
      </w:r>
    </w:p>
    <w:p w:rsidR="00000000" w:rsidDel="00000000" w:rsidP="00000000" w:rsidRDefault="00000000" w:rsidRPr="00000000" w14:paraId="0000000E">
      <w:pPr>
        <w:spacing w:after="140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технического отдела на подготовку коммерческих предложений</w:t>
      </w:r>
    </w:p>
    <w:p w:rsidR="00000000" w:rsidDel="00000000" w:rsidP="00000000" w:rsidRDefault="00000000" w:rsidRPr="00000000" w14:paraId="0000000F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  <w:t xml:space="preserve">Выполнили студенты группы 6402</w:t>
      </w:r>
    </w:p>
    <w:p w:rsidR="00000000" w:rsidDel="00000000" w:rsidP="00000000" w:rsidRDefault="00000000" w:rsidRPr="00000000" w14:paraId="00000010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  <w:t xml:space="preserve">Зайцев Виктор</w:t>
      </w:r>
    </w:p>
    <w:p w:rsidR="00000000" w:rsidDel="00000000" w:rsidP="00000000" w:rsidRDefault="00000000" w:rsidRPr="00000000" w14:paraId="00000011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  <w:t xml:space="preserve">Коршиков Егор</w:t>
      </w:r>
    </w:p>
    <w:p w:rsidR="00000000" w:rsidDel="00000000" w:rsidP="00000000" w:rsidRDefault="00000000" w:rsidRPr="00000000" w14:paraId="00000012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481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Самара 2026</w:t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 Предметная область и бизнес-цель</w:t>
      </w:r>
    </w:p>
    <w:p w:rsidR="00000000" w:rsidDel="00000000" w:rsidP="00000000" w:rsidRDefault="00000000" w:rsidRPr="00000000" w14:paraId="00000022">
      <w:pPr>
        <w:rPr/>
      </w:pPr>
      <w:sdt>
        <w:sdtPr>
          <w:id w:val="-111172525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Компания продаёт сложное промышленное оборудование под проект. Прежде чем менеджер отправит клиенту коммерческое предложение (КП), технический отдел должен подобрать конфигурацию и рассчитать стоимость, поэтому каждая сделка порождает одну или несколько заявок на подготовку КП. Заявка проходит стадии «Новая» → «В работе» → «Уточнение у клиента» → «КП готово» → «Презентация проведена», на любом этапе возможен «Проигрыш».</w:t>
          </w:r>
        </w:sdtContent>
      </w:sdt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Без специализированной системы руководитель технического отдела не видит, в каком порядке разбирать очередь, кто из специалистов перегружен и где зависают готовые КП. Приложение «ТехОчередь» ведёт реестр сделок и заявок, само присваивает заявке приоритет, считает загрузку специалистов, подсказывает исполнителя и уведомляет участников о событиях в реальном времени.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Бизнес-цели и способы их измерения приведены в таблице 1.</w:t>
      </w:r>
    </w:p>
    <w:p w:rsidR="00000000" w:rsidDel="00000000" w:rsidP="00000000" w:rsidRDefault="00000000" w:rsidRPr="00000000" w14:paraId="00000025">
      <w:pPr>
        <w:keepNext w:val="1"/>
        <w:spacing w:before="12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Таблица 1 – Бизнес-цели</w:t>
      </w:r>
    </w:p>
    <w:tbl>
      <w:tblPr>
        <w:tblStyle w:val="Table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4252"/>
        <w:gridCol w:w="1701"/>
        <w:tblGridChange w:id="0">
          <w:tblGrid>
            <w:gridCol w:w="3402"/>
            <w:gridCol w:w="4252"/>
            <w:gridCol w:w="170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Бизнес-цель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Целевое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Сократить срок подготовки КП по приоритетным сделкам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Медиана срока подготовки заявок приоритета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jc w:val="left"/>
              <w:rPr/>
            </w:pPr>
            <w:sdt>
              <w:sdtPr>
                <w:id w:val="-1240014192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5 раб. дн.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Снизить долю просроченных заявок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Доля заявок, чей возраст превышает норматив своего приоритета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jc w:val="left"/>
              <w:rPr/>
            </w:pPr>
            <w:sdt>
              <w:sdtPr>
                <w:id w:val="64002480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15 %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Выровнять загрузку специалистов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Максимальный индекс загрузки специалиста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jc w:val="left"/>
              <w:rPr/>
            </w:pPr>
            <w:sdt>
              <w:sdtPr>
                <w:id w:val="-927747200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140 %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терять готовые КП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Доля КП, ожидающих презентации дольше 7 раб. дн.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ind w:firstLine="0"/>
              <w:jc w:val="left"/>
              <w:rPr/>
            </w:pPr>
            <w:sdt>
              <w:sdtPr>
                <w:id w:val="-1323688622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10 %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Приоритет заявки</w:t>
      </w:r>
      <w:r w:rsidDel="00000000" w:rsidR="00000000" w:rsidRPr="00000000">
        <w:rPr>
          <w:rtl w:val="0"/>
        </w:rPr>
        <w:t xml:space="preserve"> наследуется от сделки: каждая из трёх осей (бюджет, сроки, потребность) оценивается в 0 баллов («нет данных»), 1 («обозначено») или 2 («подтверждено»); сумма 4–6 даёт приоритет 1, 2–3 — приоритет 2, 0–1 — приоритет 3. </w:t>
      </w:r>
      <w:r w:rsidDel="00000000" w:rsidR="00000000" w:rsidRPr="00000000">
        <w:rPr>
          <w:b w:val="1"/>
          <w:bCs w:val="1"/>
          <w:rtl w:val="0"/>
        </w:rPr>
        <w:t xml:space="preserve">Загрузка специалиста</w:t>
      </w:r>
      <w:r w:rsidDel="00000000" w:rsidR="00000000" w:rsidRPr="00000000">
        <w:rPr>
          <w:rtl w:val="0"/>
        </w:rPr>
        <w:t xml:space="preserve"> — сумма весов его активных заявок (вес растёт с приоритетом и возрастом заявки), </w:t>
      </w:r>
      <w:r w:rsidDel="00000000" w:rsidR="00000000" w:rsidRPr="00000000">
        <w:rPr>
          <w:b w:val="1"/>
          <w:bCs w:val="1"/>
          <w:rtl w:val="0"/>
        </w:rPr>
        <w:t xml:space="preserve">индекс загрузки</w:t>
      </w:r>
      <w:r w:rsidDel="00000000" w:rsidR="00000000" w:rsidRPr="00000000">
        <w:rPr>
          <w:rtl w:val="0"/>
        </w:rPr>
        <w:t xml:space="preserve"> — отношение загрузки к норме отдела. Вычисляемые показатели не хранятся в БД, а считаются при чтении, поэтому изменённый руководителем порог сразу применяется ко всем заявкам.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2 Функционал и сценарии использования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 системе три роли. Функции, доступные каждой из них, перечислены в таблице 2.</w:t>
      </w:r>
    </w:p>
    <w:p w:rsidR="00000000" w:rsidDel="00000000" w:rsidP="00000000" w:rsidRDefault="00000000" w:rsidRPr="00000000" w14:paraId="00000039">
      <w:pPr>
        <w:keepNext w:val="1"/>
        <w:spacing w:before="12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Таблица 2 – Роли и функции</w:t>
      </w:r>
    </w:p>
    <w:tbl>
      <w:tblPr>
        <w:tblStyle w:val="Table2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7087"/>
        <w:tblGridChange w:id="0">
          <w:tblGrid>
            <w:gridCol w:w="2268"/>
            <w:gridCol w:w="708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 и вход; CRUD своих сделок с оценкой осей и готовности ТЗ; создание заявки на КП; перевод заявки в «Презентация проведена» или «Проигрыш»; уведомление о готовности КП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Технический специалист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назначенных заявок в порядке приоритета; смена стадии: «В работе», «Уточнение у клиента», «КП готово»; уведомления о назначении и просрочке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Руководитель ТО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всех сделок и заявок; назначение исполнителей с подсказкой системы; дашборд отдела (очередь, просрочки, загрузка и индекс загрузки специалистов); справочник категорий оборудования и компетенций; настройка нормативов и порогов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Варианты использования показаны на рисунке 1. Автоматические задачи — ежедневный снимок загрузки и контроль просрочек — выполняет системный актор «Планировщик».</w:t>
      </w:r>
    </w:p>
    <w:p w:rsidR="00000000" w:rsidDel="00000000" w:rsidP="00000000" w:rsidRDefault="00000000" w:rsidRPr="00000000" w14:paraId="00000044">
      <w:pPr>
        <w:keepNext w:val="1"/>
        <w:spacing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140000" cy="506410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06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– Диаграмма вариантов использования</w:t>
      </w:r>
    </w:p>
    <w:p w:rsidR="00000000" w:rsidDel="00000000" w:rsidP="00000000" w:rsidRDefault="00000000" w:rsidRPr="00000000" w14:paraId="00000046">
      <w:pPr>
        <w:keepNext w:val="1"/>
        <w:rPr/>
      </w:pPr>
      <w:r w:rsidDel="00000000" w:rsidR="00000000" w:rsidRPr="00000000">
        <w:rPr>
          <w:rtl w:val="0"/>
        </w:rPr>
        <w:t xml:space="preserve">Сценарии использования основного функционала: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Регистрация и вход:</w:t>
      </w:r>
      <w:sdt>
        <w:sdtPr>
          <w:id w:val="655344577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пользователь вводит e-mail, ФИО и пароль → система сохраняет хеш пароля (роль по умолчанию — «менеджер», остальные выдаёт руководитель) → при входе пользователь получает JWT-токен и передаёт его в заголовке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всех запросов.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Создание заявки:</w:t>
      </w:r>
      <w:sdt>
        <w:sdtPr>
          <w:id w:val="-79527254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менеджер открывает сделку и заполняет оси бюджета, сроков и потребности → нажимает «Заявка в техотдел», выбирает категорию оборудования и описывает задачу → система создаёт заявку в стадии «Новая», рассчитывает приоритет и уведомляет руководителя. Если приоритет 3 или ТЗ готово меньше чем на 50 %, заявка помечается «вернуть менеджеру».</w:t>
          </w:r>
        </w:sdtContent>
      </w:sdt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b w:val="1"/>
          <w:bCs w:val="1"/>
          <w:rtl w:val="0"/>
        </w:rPr>
        <w:t xml:space="preserve">Назначение исполнителя:</w:t>
      </w:r>
      <w:sdt>
        <w:sdtPr>
          <w:id w:val="1792702379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руководитель открывает новую заявку → система предлагает специалистов с нужной компетенцией, упорядоченных по индексу загрузки → руководитель выбирает основного исполнителя и при необходимости соисполнителей → специалист получает уведомление.</w:t>
          </w:r>
        </w:sdtContent>
      </w:sdt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b w:val="1"/>
          <w:bCs w:val="1"/>
          <w:rtl w:val="0"/>
        </w:rPr>
        <w:t xml:space="preserve">Подготовка КП:</w:t>
      </w:r>
      <w:sdt>
        <w:sdtPr>
          <w:id w:val="214611198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специалист открывает «Мои заявки», берёт заявку в работу → при нехватке данных переводит её в «Уточнение у клиента» → прикладывает результат и переводит в «КП готово» → менеджер получает уведомление и после встречи с клиентом закрывает заявку.</w:t>
          </w:r>
        </w:sdtContent>
      </w:sdt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b w:val="1"/>
          <w:bCs w:val="1"/>
          <w:rtl w:val="0"/>
        </w:rPr>
        <w:t xml:space="preserve">Контроль отдела:</w:t>
      </w:r>
      <w:sdt>
        <w:sdtPr>
          <w:id w:val="-698534556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руководитель открывает дашборд → видит просроченные заявки, медианные сроки по приоритетам, готовые КП без презентации и индекс загрузки каждого специалиста → при перегрузке переназначает заявку; в «Настройках» меняет нормативы и пороги.</w:t>
          </w:r>
        </w:sdtContent>
      </w:sdt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3 Архитектура приложения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Приложение состоит из компонентов, перечисленных в таблице 3; связи между ними показаны на рисунке 2. Стек технологий совпадает с предложенным в лекционном курсе.</w:t>
      </w:r>
    </w:p>
    <w:p w:rsidR="00000000" w:rsidDel="00000000" w:rsidP="00000000" w:rsidRDefault="00000000" w:rsidRPr="00000000" w14:paraId="0000004E">
      <w:pPr>
        <w:keepNext w:val="1"/>
        <w:spacing w:before="12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Таблица 3 – Компоненты приложения</w:t>
      </w:r>
    </w:p>
    <w:tbl>
      <w:tblPr>
        <w:tblStyle w:val="Table3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1"/>
        <w:gridCol w:w="3969"/>
        <w:gridCol w:w="3345"/>
        <w:tblGridChange w:id="0">
          <w:tblGrid>
            <w:gridCol w:w="2041"/>
            <w:gridCol w:w="3969"/>
            <w:gridCol w:w="33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Связи и технологии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Единая точка входа, обратный прокси для REST и WebSocket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HTTP, 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 API: аутентификация, CRUD, проверка прав, публикация событий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FastAPI, Pydantic, SQLAlchemy, JWT; вызывает Load Service по gRPC, публикует события в RabbitMQ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 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Расчёты: приоритет, нормативы просрочки, индекс загрузки, подбор специалиста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gRPC, Protocol Buffers; читает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Брокер событий: создание, назначение, смена стадии, просрочка 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AMQP,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Подписка на события и доставка уведомлений клиентам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jc w:val="left"/>
              <w:rPr/>
            </w:pPr>
            <w:sdt>
              <w:sdtPr>
                <w:id w:val="-854613441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RabbitMQ → WebSocket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Ежедневный снимок загрузки, ежечасный контроль просрочек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gRPC, AMQP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Хранилище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780000" cy="493210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93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– Диаграмма компонентов</w:t>
      </w:r>
    </w:p>
    <w:p w:rsidR="00000000" w:rsidDel="00000000" w:rsidP="00000000" w:rsidRDefault="00000000" w:rsidRPr="00000000" w14:paraId="0000006A">
      <w:pPr>
        <w:keepNext w:val="1"/>
        <w:rPr/>
      </w:pPr>
      <w:r w:rsidDel="00000000" w:rsidR="00000000" w:rsidRPr="00000000">
        <w:rPr>
          <w:rtl w:val="0"/>
        </w:rPr>
        <w:t xml:space="preserve">Обоснование выбора технологий: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gRPC</w:t>
      </w:r>
      <w:r w:rsidDel="00000000" w:rsidR="00000000" w:rsidRPr="00000000">
        <w:rPr>
          <w:rtl w:val="0"/>
        </w:rPr>
        <w:t xml:space="preserve"> — расчёты вынесены в отдельный сервис с узким контрактом, который вызывают два клиента (API и планировщик); строгий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.proto</w:t>
      </w:r>
      <w:r w:rsidDel="00000000" w:rsidR="00000000" w:rsidRPr="00000000">
        <w:rPr>
          <w:rtl w:val="0"/>
        </w:rPr>
        <w:t xml:space="preserve">-контракт исключает расхождение формул между ними, а Protobuf компактнее JSON на крупном ответе дашборда;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— назначение заявки не ждёт доставки уведомления, а при недоступности сервиса уведомлений событие сохраняется в очереди;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— опрос сервера раз в 15–30 секунд почти всегда возвращает «ничего не изменилось», а WebSocket доставляет только реальные события;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— токен проверяется локально и в API, и в Notification Service без общего хранилища сессий;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— ссылочная целостность, частичные уникальные индексы, тип JSONB для настроек и уведомлений.</w:t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4 Схема базы данных</w:t>
      </w:r>
    </w:p>
    <w:p w:rsidR="00000000" w:rsidDel="00000000" w:rsidP="00000000" w:rsidRDefault="00000000" w:rsidRPr="00000000" w14:paraId="00000071">
      <w:pPr>
        <w:rPr/>
      </w:pPr>
      <w:sdt>
        <w:sdtPr>
          <w:id w:val="61387077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Логическая схема основных сущностей приведена на рисунке 3. В ней две связи «многие-ко-многим»: заявка ↔ специалист (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request_assignees</w:t>
      </w:r>
      <w:sdt>
        <w:sdtPr>
          <w:id w:val="1188490597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— основной исполнитель и соисполнители) и специалист ↔ категория оборудования (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specialist_categories</w:t>
      </w:r>
      <w:r w:rsidDel="00000000" w:rsidR="00000000" w:rsidRPr="00000000">
        <w:rPr>
          <w:rtl w:val="0"/>
        </w:rPr>
        <w:t xml:space="preserve"> — компетенции, на которых строится подбор исполнителя).</w:t>
      </w:r>
    </w:p>
    <w:p w:rsidR="00000000" w:rsidDel="00000000" w:rsidP="00000000" w:rsidRDefault="00000000" w:rsidRPr="00000000" w14:paraId="00000072">
      <w:pPr>
        <w:keepNext w:val="1"/>
        <w:spacing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040000" cy="549642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96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– Логическая схема базы данных (основные сущности)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Физическая схема для PostgreSQL 16 описана в таблице 4. Кроме основных, в ней есть три служебные таблицы, связанные только с пользователем: снимки загрузки, уведомления и настройки.</w:t>
      </w:r>
    </w:p>
    <w:p w:rsidR="00000000" w:rsidDel="00000000" w:rsidP="00000000" w:rsidRDefault="00000000" w:rsidRPr="00000000" w14:paraId="00000075">
      <w:pPr>
        <w:keepNext w:val="1"/>
        <w:spacing w:before="12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Таблица 4 – Физическая схема базы данных</w:t>
      </w:r>
    </w:p>
    <w:tbl>
      <w:tblPr>
        <w:tblStyle w:val="Table4"/>
        <w:tblW w:w="93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8"/>
        <w:gridCol w:w="6746"/>
        <w:tblGridChange w:id="0">
          <w:tblGrid>
            <w:gridCol w:w="2608"/>
            <w:gridCol w:w="674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Ключевые поля и 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SERIAL PK; email UNIQUE; password_hash; role CHECK IN (manager, specialist, head)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jc w:val="left"/>
              <w:rPr/>
            </w:pPr>
            <w:sdt>
              <w:sdtPr>
                <w:id w:val="1994901672"/>
                <w:tag w:val="goog_rdk_1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id PK; manager_id FK → users; budget/timeline/need_status ENUM axis_status; tz_percent CHECK 0…100; amount CHECK ≥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PK; code UNIQUE; kind CHECK IN (queue, ready, presented, lost)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PK; deal_id FK ON DELETE CASCADE; category_id, stage_id, created_by FK; stage_changed_at, ready_at, closed_at TIMESTAMPTZ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equipment_categories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PK; name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request_assignees (M:N)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 (request_id, specialist_id); is_main; частичный UNIQUE (request_id) WHERE is_main — ровно один основной исполнитель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specialist_categories (M:N)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 (specialist_id, category_id), оба FK 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stage_history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BIGSERIAL PK; request_id, from_stage_id, to_stage_id, changed_by FK; индекс (request_id, changed_at)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load_snapshots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 (snapshot_date, specialist_id); load NUMERIC; active_requests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BIGSERIAL PK; user_id FK; event_type; payload JSONB; read_at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key VARCHAR PK; value JSONB; updated_by FK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Схема удовлетворяет формальным требованиям: данные читаются, создаются и редактируются через CRUD сделок, заявок, назначений и настроек; ролей три; сущностей больше трёх; связей «многие-ко-многим» две.</w:t>
      </w:r>
    </w:p>
    <w:sectPr>
      <w:footerReference r:id="rId10" w:type="default"/>
      <w:pgSz w:h="16838" w:w="11906" w:orient="portrait"/>
      <w:pgMar w:bottom="1134" w:top="1134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ngsuh"/>
  <w:font w:name="Courier New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110" w:customStyle="1">
    <w:name w:val="Оглавление 11"/>
    <w:pPr>
      <w:spacing w:line="360" w:lineRule="auto"/>
    </w:pPr>
    <w:rPr>
      <w:rFonts w:ascii="Times New Roman" w:cs="Times New Roman" w:eastAsia="Times New Roman" w:hAnsi="Times New Roman"/>
      <w:color w:val="000000"/>
      <w:sz w:val="28"/>
    </w:rPr>
  </w:style>
  <w:style w:type="paragraph" w:styleId="210" w:customStyle="1">
    <w:name w:val="Оглавление 21"/>
    <w:pPr>
      <w:spacing w:line="360" w:lineRule="auto"/>
      <w:ind w:left="425"/>
    </w:pPr>
    <w:rPr>
      <w:rFonts w:ascii="Times New Roman" w:cs="Times New Roman" w:eastAsia="Times New Roman" w:hAnsi="Times New Roman"/>
      <w:color w:val="000000"/>
      <w:sz w:val="28"/>
    </w:rPr>
  </w:style>
  <w:style w:type="paragraph" w:styleId="Subtitle">
    <w:name w:val="Subtitle"/>
    <w:basedOn w:val="Normal"/>
    <w:next w:val="Normal"/>
    <w:pPr>
      <w:ind w:firstLine="709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JlfKO2mURA/CE+2VPMD/2RJZLw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MKAjEwEg0KCwgHQgcSBUNhcmRvGhUKAjExEg8KDQgHQgkSB0d1bmdzdWgaFQoCMTISDwoNCAdCCRIHR3VuZ3N1aBoTCgIxMxINCgsIB0IHEgVDYXJkbzgAciExT3I4dXJxVTA4c24yc3k1cmRHUDB0UDlxMUdFczNJV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