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1: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 некоторый период времени на предприятии потребление исходного сырья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зависимости от его качества составляет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b1, b2, b3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b4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ед. Если для выпуска запланированного объема основной продукции сырья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окажется недостаточно, то запас его можно пополнить, что потребует дополнительных затрат в сумме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c1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ед. в расчете на единицу сырья. Если же запас сырья превысит потребности, то дополнительные затраты на содержание и хранение остатка составят с2 ед. в расчете на единицу сырья.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Номер варианта —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24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Исходные данные: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b1 = 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; b2 = 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; b3 = 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7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; b4 = 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9;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c1 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9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; c2 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7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q1 = 0.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, q2 = 0.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5, q 3 = 0.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35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; q4 = 0.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γ = 0.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7</w:t>
      </w:r>
    </w:p>
    <w:p>
      <w:pPr>
        <w:pStyle w:val="Normal"/>
        <w:bidi w:val="0"/>
        <w:jc w:val="left"/>
        <w:rPr>
          <w:rStyle w:val="Style14"/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1)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Придание описанной ситуации игровой схемы, выявление участников игры и установление её характера, указание допустимых стратегий сторон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Игрок А — предприятие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Игрок П — природа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Игрок А заинтересован в минимизации потерь. Игра относится к «играм с природой»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Стратегии игрока А: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A1 = 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создать запас сырья в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А2 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создать запас сырья в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А3 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создать запас сырья в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А4 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создать запас сырья в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9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Стратегии игрока П: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П1 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достаточно сырья в количестве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П2 = 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достаточно сырья в количестве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П3 = 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достаточно сырья в количестве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П4 = 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достаточно сырья в количестве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9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2) Вычисление элементов платежной матрицы и её составление.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Платежная матрица имеет вид: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54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36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42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Рассмотрим составление платежной матрицы на примере элемента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(A1,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П2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).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данном случае предприятие заготавливает сырьё в количестве равном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единицам. Выпуск запланнированного объема продукции требует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 сырья. Сырьё необходимо пополнить, что потребует затрат в размере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9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* (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-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) =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18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денежных единиц. Так как в задаче требуется минимизировать потери, то перед полученным числовым значением ставится знак минус.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Рассмотрим составление платежной матрицы на примере элемента (А2, П1).  В данном случае предприятие заготавливает сырьё в количестве равном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единицам. Выпуска запланнированного объема продукции требует 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единиц сырья.  Запас сырья превышает потребности, дополнительные траты составят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* (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) =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14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денежных единиц. Перед полученным числовым значением также ставится знак минус.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3) Обоснованные рекомендации об оптимальном уровне запаса сырья, при котором дополнительные затраты на приобретение, содержание и хранение сырья будут минимальными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3а) Вероятности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q1, q2, q3, q4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потребности в сырье в количествах соответственно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b1, b2, b3, b4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ед. известны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Найдем оптимальные чистые стратегии, воспользовавшись критерием Байеса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соответствии с этим критерием, оптмальным считается чистая стратегия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при которой максимизируется средний выигрыш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aij</m:t>
            </m:r>
          </m:e>
        </m:nary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qj</m:t>
        </m:r>
      </m:oMath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54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29.7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14.9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11.3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42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-18.9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Далее среди полученных средних выигрышей выбирается маскимальное значение. В данном случае, это значение -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Соответствующся стратегия -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б) Потребление сырья в количествах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b1, b2, b3, b4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ед. представляется равновероятным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Найдем оптимальные чистые стратегии, воспользовавшись критерием Лапласа.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Согласно этому критерию, все состояния природы полагаются равновероятным, т.е.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q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= 1/n.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Оптимальной считается чистая стратегия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обеспечивающая максимальное среднее значение выигрыша.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54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27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17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15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42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-21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Среди полученныйх средних выигрышей выбираем максимальное значение и соответствующую ему стратегию. В данном случае, максимальное значение равно -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, а оптимальная стратегия —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3в) О вероятностях потребления сырья ничего определенного сказать нельзя.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Найдем оптимальные чистые стратегии, воспользовавшись критериями Вальда, Сэвиджа, Гурвица(значение параметра равно 0.8)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Применяя критерий Вальда, находим максимум из минимумов и соответсвующую стратегию. Это стратегия крайнего пессимизма.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Применяя критерий Сэвиджа, выбирается стратегия, обеспечивающая минимум риска при самых неблагоприятных условиях(минимизируем максимальный риск). Это также крайний пессимизм, но по отношению к величине риска.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Применяя критерий Гурвица, стратегия выбирается в соответствии со значением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min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λ</m:t>
                </m:r>
              </m:e>
            </m:d>
            <m:r>
              <w:rPr>
                <w:rFonts w:ascii="Cambria Math" w:hAnsi="Cambria Math"/>
              </w:rPr>
              <m:t xml:space="preserve">max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Применяя критерий к матрице рисков, он примет вид: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max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λ</m:t>
                </m:r>
              </m:e>
            </m:d>
            <m:r>
              <w:rPr>
                <w:rFonts w:ascii="Cambria Math" w:hAnsi="Cambria Math"/>
              </w:rPr>
              <m:t xml:space="preserve">min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Min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max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A1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36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54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54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36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36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42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-42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Просчитаем числа для признака Гурвица: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-54 * 0.7 + (1 — 0.7) * 0 = -37.8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-36 * 0.7 = -25.2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-28 * 0.7 =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-19.6 — наибольшее число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-42 * 0.7 = -29.6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Следовательно: 3я стратегия оказалась оптимальной.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4) Решение в смешанных стратегиях(сведением к задаче линейного программирования)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 всем элементам матрицы платежей добавим значение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54(дабы избавиться от отрицательных значений)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7"/>
        <w:gridCol w:w="1928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36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A4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54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Математическая модель игрока П: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f(y) = y1 + y2 + y3 + y4 → max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54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y1 + 3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6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y2 +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18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y3 +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y4 &lt;=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40y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 +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54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y2 + 3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6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y3 +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18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y4 &lt;=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26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y1 +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40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y2 +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54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y3 + 3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6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y4 &lt;=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12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y2 +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26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y3 +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+40y3 + 54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y4 &lt;=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yi =&gt; 0; i = 1..4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Вычислим на компьютере: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17780</wp:posOffset>
            </wp:positionH>
            <wp:positionV relativeFrom="paragraph">
              <wp:posOffset>55245</wp:posOffset>
            </wp:positionV>
            <wp:extent cx="6120130" cy="988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Получим вектор y(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0.0185181016965982,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0, 0, 0.0144031614303669)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 xml:space="preserve">Целевая ф-ция: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0.0329212631269651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Цена игры(смещённая): v = 1/z = 30.4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Вектор вероятности: q = v * 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q(0.56, 0, 0, 0.44)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Цена игры(настоящая): -23.6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2: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Проект представлен сетевым графиком. Для каждой работы известна её продолжительность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минимально возможное время выполнения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Пусть задан срок выполнения проекта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 расчетное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 Продолжительность выполнения работы (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i, j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) линейно зависит от суммы дополнительно вложенных средств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выражается соотношением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Технологические коэффициенты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известны.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Номер варианта: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4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3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1)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Критический путь, ранние и поздние сроки начала и окончания работ, резервы времени, сетевой график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Сетевой график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представлен в бумажном виде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Критический путь: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1→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→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→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5→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6.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Продолжительность критического пути —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Параметры: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-52070</wp:posOffset>
            </wp:positionH>
            <wp:positionV relativeFrom="paragraph">
              <wp:posOffset>276860</wp:posOffset>
            </wp:positionV>
            <wp:extent cx="6120130" cy="6883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Ранние и поздние сроки начала и окончания работ, резервы времени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490220</wp:posOffset>
            </wp:positionH>
            <wp:positionV relativeFrom="paragraph">
              <wp:posOffset>42545</wp:posOffset>
            </wp:positionV>
            <wp:extent cx="4596765" cy="24580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) Вычисление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/>
          <w:b/>
          <w:bCs/>
          <w:sz w:val="28"/>
          <w:szCs w:val="28"/>
          <w:vertAlign w:val="superscript"/>
          <w:lang w:val="ru-RU"/>
        </w:rPr>
        <w:t>н</w:t>
      </w: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, t</w:t>
      </w:r>
      <w:r>
        <w:rPr>
          <w:rFonts w:ascii="Times New Roman" w:hAnsi="Times New Roman"/>
          <w:b/>
          <w:bCs/>
          <w:sz w:val="28"/>
          <w:szCs w:val="28"/>
          <w:vertAlign w:val="superscript"/>
          <w:lang w:val="en-US"/>
        </w:rPr>
        <w:t>o</w:t>
      </w: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, x</w:t>
      </w: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>ij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-120015</wp:posOffset>
            </wp:positionH>
            <wp:positionV relativeFrom="paragraph">
              <wp:posOffset>202565</wp:posOffset>
            </wp:positionV>
            <wp:extent cx="5943600" cy="1905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) График Ганта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-210820</wp:posOffset>
            </wp:positionH>
            <wp:positionV relativeFrom="paragraph">
              <wp:posOffset>61595</wp:posOffset>
            </wp:positionV>
            <wp:extent cx="6075045" cy="2809875"/>
            <wp:effectExtent l="0" t="0" r="0" b="0"/>
            <wp:wrapTopAndBottom/>
            <wp:docPr id="6" name="Object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4) Нахождение целевой функции и срока выполнения проекта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-43180</wp:posOffset>
            </wp:positionH>
            <wp:positionV relativeFrom="paragraph">
              <wp:posOffset>476250</wp:posOffset>
            </wp:positionV>
            <wp:extent cx="6120130" cy="13773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4) 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>Нахождение нового критического пути, ранние и поздние сроки начала и окончания работ, резервы времени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191452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19240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Критический путь: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1 → 4 → 5 → 6.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Продолжительность — 5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>5) Построение линейного графика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427355</wp:posOffset>
            </wp:positionH>
            <wp:positionV relativeFrom="paragraph">
              <wp:posOffset>434340</wp:posOffset>
            </wp:positionV>
            <wp:extent cx="4677410" cy="2428875"/>
            <wp:effectExtent l="0" t="0" r="0" b="0"/>
            <wp:wrapTopAndBottom/>
            <wp:docPr id="10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>6) Вывод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Для выполнения проекта за время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to = 5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6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необходимы дополнительные вложения в размере 24 единиц. Работа (1, 3) — 10, работа (1, 4) — 10, работа(5, 6) — 4. Продолжительность работы (1, 3) сократилась на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2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единицы времени, работа (1, 4) — на 3 единицы времени, работа (5, 6) — на 2 единицы времени.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Общее сокращение срока — 7 единиц времени.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chart" Target="charts/chart1.xm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линейный график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19</c:v>
                </c:pt>
                <c:pt idx="4">
                  <c:v>19</c:v>
                </c:pt>
                <c:pt idx="5">
                  <c:v>10</c:v>
                </c:pt>
                <c:pt idx="6">
                  <c:v>10</c:v>
                </c:pt>
                <c:pt idx="7">
                  <c:v>37</c:v>
                </c:pt>
                <c:pt idx="8">
                  <c:v>37</c:v>
                </c:pt>
                <c:pt idx="9">
                  <c:v>54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ed7d31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19</c:v>
                </c:pt>
                <c:pt idx="1">
                  <c:v>10</c:v>
                </c:pt>
                <c:pt idx="2">
                  <c:v>35</c:v>
                </c:pt>
                <c:pt idx="3">
                  <c:v>18</c:v>
                </c:pt>
                <c:pt idx="4">
                  <c:v>20</c:v>
                </c:pt>
                <c:pt idx="5">
                  <c:v>9</c:v>
                </c:pt>
                <c:pt idx="6">
                  <c:v>22</c:v>
                </c:pt>
                <c:pt idx="7">
                  <c:v>17</c:v>
                </c:pt>
                <c:pt idx="8">
                  <c:v>20</c:v>
                </c:pt>
                <c:pt idx="9">
                  <c:v>18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a5a5a5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0</c:v>
                </c:pt>
                <c:pt idx="1">
                  <c:v>18</c:v>
                </c:pt>
                <c:pt idx="2">
                  <c:v>2</c:v>
                </c:pt>
                <c:pt idx="3">
                  <c:v>0</c:v>
                </c:pt>
                <c:pt idx="4">
                  <c:v>15</c:v>
                </c:pt>
                <c:pt idx="5">
                  <c:v>0</c:v>
                </c:pt>
                <c:pt idx="6">
                  <c:v>22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</c:numCache>
            </c:numRef>
          </c:val>
        </c:ser>
        <c:gapWidth val="150"/>
        <c:overlap val="100"/>
        <c:axId val="15021843"/>
        <c:axId val="56219803"/>
      </c:barChart>
      <c:catAx>
        <c:axId val="15021843"/>
        <c:scaling>
          <c:orientation val="minMax"/>
        </c:scaling>
        <c:delete val="0"/>
        <c:axPos val="b"/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работы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6219803"/>
        <c:crosses val="autoZero"/>
        <c:auto val="1"/>
        <c:lblAlgn val="ctr"/>
        <c:lblOffset val="100"/>
        <c:noMultiLvlLbl val="0"/>
      </c:catAx>
      <c:valAx>
        <c:axId val="5621980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5021843"/>
        <c:crosses val="autoZero"/>
        <c:crossBetween val="between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LibreOffice/7.4.0.3$Linux_X86_64 LibreOffice_project/f85e47c08ddd19c015c0114a68350214f7066f5a</Application>
  <AppVersion>15.0000</AppVersion>
  <Pages>8</Pages>
  <Words>1058</Words>
  <Characters>5495</Characters>
  <CharactersWithSpaces>6357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2022-11-24T15:57:31Z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