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Плановый период – апрель 2017 г.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Режим работы предприятия – 5-ти дневная неделя, 1 смена, длительность смены 8 ч.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Количество единиц оборудования: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1 – 5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2 – 2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3 – 4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4 – 6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5 – 6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6 – 4 ед.;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Оборудование 7 – 2 ед.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Плановый ремонтный фонд составляет -5 % от календарного фонда.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Разделочный цех – цех №1;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Цех мучных заготовок – цех №2;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Цех готовой продукции – цех №3.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Результаты расчета производственной мощности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3"/>
        <w:gridCol w:w="1672"/>
        <w:gridCol w:w="1427"/>
        <w:gridCol w:w="1672"/>
        <w:gridCol w:w="1215"/>
        <w:gridCol w:w="1695"/>
      </w:tblGrid>
      <w:tr>
        <w:trPr>
          <w:trHeight w:val="1673" w:hRule="atLeast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Оборудование/Цех</w:t>
            </w: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Производственная мощность, маш-ч.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Потребность в машино-часах на объем выпуска (производства), маш-ч.</w:t>
            </w: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Производственная мощность, ед.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Потребность в материалах, ед.</w:t>
            </w:r>
          </w:p>
        </w:tc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Узкое/широкое место, ед. (производственная мощность минус потребность в материалах)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Цех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Цех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Цех 3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Предприятие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4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2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204"/>
                <w:tab w:val="clear" w:pos="583"/>
              </w:tabs>
              <w:spacing w:lineRule="auto" w:line="240"/>
              <w:ind w:hanging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tabs>
          <w:tab w:val="clear" w:pos="204"/>
          <w:tab w:val="clear" w:pos="583"/>
        </w:tabs>
        <w:spacing w:lineRule="auto" w:line="259" w:before="0" w:after="16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Теория Производственной мощности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Для проведения укрупненной оценки на реалистичность проекта выпуска продукции в случае широкой номенклатуры изделий, детали для которых обрабатываются на одном и том же оборудовании, используют понятие норма станкоемкости условной единицы. Данный показатель может быть рассчитан как сумма станкоемкостей всех различных изделий, включенных в проект производственной программы, причем трудоемкость каждого изделия должна входить в сумму трудоемкости условной единицы в той пропорции, в какой само изделие предусмотрено в программе. 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В случае примера проект программы производства двух видов изделий имеет процентное соотношение 40:60.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Проект программы производства – Потребности в материалах (заказы клиентов, остатки, потребность в полуфабрикатах).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Действующая норма трудоемкости условной единицы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i/>
          <w:sz w:val="24"/>
          <w:szCs w:val="24"/>
        </w:rPr>
        <w:t>-го вида оборудования:</w:t>
      </w:r>
    </w:p>
    <w:p>
      <w:pPr>
        <w:pStyle w:val="Header"/>
        <w:widowControl w:val="false"/>
        <w:tabs>
          <w:tab w:val="clear" w:pos="4153"/>
          <w:tab w:val="clear" w:pos="8306"/>
          <w:tab w:val="left" w:pos="204" w:leader="none"/>
          <w:tab w:val="left" w:pos="583" w:leader="none"/>
        </w:tabs>
        <w:ind w:left="204" w:firstLine="720"/>
        <w:jc w:val="left"/>
        <w:rPr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iусловное</m:t>
              </m:r>
            </m:sub>
            <m:sup>
              <m:r>
                <w:rPr>
                  <w:rFonts w:ascii="Cambria Math" w:hAnsi="Cambria Math"/>
                </w:rPr>
                <m:t xml:space="preserve">д</m:t>
              </m:r>
            </m:sup>
          </m:sSubSup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д</m:t>
              </m:r>
            </m:sup>
          </m:sSub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0,4</m:t>
          </m:r>
          <m:r>
            <w:rPr>
              <w:rFonts w:ascii="Cambria Math" w:hAnsi="Cambria Math"/>
            </w:rPr>
            <m:t xml:space="preserve">+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д</m:t>
              </m:r>
            </m:sup>
          </m:sSub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1,3</m:t>
              </m:r>
            </m:e>
          </m:bar>
        </m:oMath>
      </m:oMathPara>
      <w:bookmarkStart w:id="0" w:name="_GoBack"/>
      <w:bookmarkEnd w:id="0"/>
    </w:p>
    <w:p>
      <w:pPr>
        <w:pStyle w:val="Caption1"/>
        <w:rPr>
          <w:i/>
          <w:i/>
        </w:rPr>
      </w:pPr>
      <w:r>
        <w:rPr>
          <w:i/>
        </w:rPr>
        <w:t xml:space="preserve">Таблица 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3</w:t>
      </w:r>
      <w:r>
        <w:rPr>
          <w:i/>
        </w:rPr>
        <w:fldChar w:fldCharType="end"/>
      </w:r>
      <w:r>
        <w:rPr>
          <w:i/>
        </w:rPr>
        <w:t xml:space="preserve"> Действующая трудоемкость условного изделия</w:t>
      </w:r>
    </w:p>
    <w:tbl>
      <w:tblPr>
        <w:tblW w:w="9214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552"/>
        <w:gridCol w:w="2267"/>
        <w:gridCol w:w="2269"/>
        <w:gridCol w:w="2125"/>
      </w:tblGrid>
      <w:tr>
        <w:trPr>
          <w:trHeight w:val="240" w:hRule="atLeast"/>
          <w:cantSplit w:val="true"/>
        </w:trPr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Вид оборудования</w:t>
            </w:r>
          </w:p>
        </w:tc>
        <w:tc>
          <w:tcPr>
            <w:tcW w:w="22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Изделия 1, </w:t>
            </w:r>
            <w:r>
              <w:rPr>
                <w:i/>
              </w:rPr>
              <w:t>нормо-ч./ед</w:t>
            </w:r>
            <w:r>
              <w:rPr>
                <w:b/>
                <w:i/>
              </w:rPr>
              <w:t>.</w:t>
            </w:r>
          </w:p>
        </w:tc>
        <w:tc>
          <w:tcPr>
            <w:tcW w:w="22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Изделия 2, </w:t>
            </w:r>
            <w:r>
              <w:rPr>
                <w:i/>
              </w:rPr>
              <w:t>нормо-ч./ед.</w:t>
            </w:r>
          </w:p>
        </w:tc>
        <w:tc>
          <w:tcPr>
            <w:tcW w:w="21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Условного изделия, </w:t>
            </w:r>
            <w:r>
              <w:rPr>
                <w:i/>
              </w:rPr>
              <w:t>нормо-ч./ед</w:t>
            </w:r>
            <w:r>
              <w:rPr>
                <w:b/>
                <w:i/>
              </w:rPr>
              <w:t>.</w:t>
            </w:r>
          </w:p>
        </w:tc>
      </w:tr>
      <w:tr>
        <w:trPr>
          <w:trHeight w:val="460" w:hRule="atLeast"/>
          <w:cantSplit w:val="true"/>
        </w:trPr>
        <w:tc>
          <w:tcPr>
            <w:tcW w:w="255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12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255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12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3.8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2.6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3,08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3.8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2.7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3,14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3.7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2.9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3,22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Фонд времени работы наличного оборудования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 зависимости от режима работы  предприятия определяют фонды времени: календарный, режимный (номинальный) и действительный (рабочий).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Для каждой единицы оборудования </w:t>
      </w:r>
      <w:r>
        <w:rPr>
          <w:i/>
          <w:sz w:val="24"/>
          <w:szCs w:val="24"/>
        </w:rPr>
        <w:t>календарный фонд времени</w:t>
      </w:r>
      <w:r>
        <w:rPr>
          <w:sz w:val="24"/>
          <w:szCs w:val="24"/>
        </w:rPr>
        <w:t xml:space="preserve"> Ф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определяется как произведение числа календарных дней в расчетном периоде на количество часов в сутки. Годовой календарный фонд будет равен: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= 365*24 = 8760 ч.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i/>
          <w:sz w:val="24"/>
          <w:szCs w:val="24"/>
        </w:rPr>
        <w:t>Режимный фонд</w:t>
      </w:r>
      <w:r>
        <w:rPr>
          <w:sz w:val="24"/>
          <w:szCs w:val="24"/>
        </w:rPr>
        <w:t xml:space="preserve"> Ф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равен календарному фонду в днях за вычетом выходных и праздничных дней с учетом сокращенного рабочего дня в предпраздничные дни: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= (Д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(365 - Д</w:t>
      </w:r>
      <w:r>
        <w:rPr>
          <w:sz w:val="24"/>
          <w:szCs w:val="24"/>
          <w:vertAlign w:val="subscript"/>
        </w:rPr>
        <w:t>в</w:t>
      </w:r>
      <w:r>
        <w:rPr>
          <w:sz w:val="24"/>
          <w:szCs w:val="24"/>
        </w:rPr>
        <w:t xml:space="preserve"> - Д</w:t>
      </w:r>
      <w:r>
        <w:rPr>
          <w:sz w:val="24"/>
          <w:szCs w:val="24"/>
          <w:vertAlign w:val="subscript"/>
        </w:rPr>
        <w:t>п</w:t>
      </w:r>
      <w:r>
        <w:rPr>
          <w:sz w:val="24"/>
          <w:szCs w:val="24"/>
        </w:rPr>
        <w:t xml:space="preserve"> ) –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Д</w:t>
      </w:r>
      <w:r>
        <w:rPr>
          <w:sz w:val="24"/>
          <w:szCs w:val="24"/>
          <w:vertAlign w:val="subscript"/>
        </w:rPr>
        <w:t>п.д.</w:t>
      </w:r>
      <w:r>
        <w:rPr>
          <w:sz w:val="24"/>
          <w:szCs w:val="24"/>
        </w:rPr>
        <w:t xml:space="preserve"> ) К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Где Д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 - длительность рабочей смены, ч; Д</w:t>
      </w:r>
      <w:r>
        <w:rPr>
          <w:sz w:val="24"/>
          <w:szCs w:val="24"/>
          <w:vertAlign w:val="subscript"/>
        </w:rPr>
        <w:t>в</w:t>
      </w:r>
      <w:r>
        <w:rPr>
          <w:sz w:val="24"/>
          <w:szCs w:val="24"/>
        </w:rPr>
        <w:t xml:space="preserve"> – количество выходных дней в плановом периоде; Д</w:t>
      </w:r>
      <w:r>
        <w:rPr>
          <w:sz w:val="24"/>
          <w:szCs w:val="24"/>
          <w:vertAlign w:val="subscript"/>
        </w:rPr>
        <w:t>п</w:t>
      </w:r>
      <w:r>
        <w:rPr>
          <w:sz w:val="24"/>
          <w:szCs w:val="24"/>
        </w:rPr>
        <w:t xml:space="preserve"> – количество праздничных дней в плановом периоде;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– количество нерабочих часов в предпраздничные дни; Д</w:t>
      </w:r>
      <w:r>
        <w:rPr>
          <w:sz w:val="24"/>
          <w:szCs w:val="24"/>
          <w:vertAlign w:val="subscript"/>
        </w:rPr>
        <w:t>п.д</w:t>
      </w:r>
      <w:r>
        <w:rPr>
          <w:sz w:val="24"/>
          <w:szCs w:val="24"/>
        </w:rPr>
        <w:t xml:space="preserve"> – количество предпраздничных дней; К</w:t>
      </w:r>
      <w:r>
        <w:rPr>
          <w:sz w:val="24"/>
          <w:szCs w:val="24"/>
          <w:vertAlign w:val="subscript"/>
        </w:rPr>
        <w:t>см</w:t>
      </w:r>
      <w:r>
        <w:rPr>
          <w:sz w:val="24"/>
          <w:szCs w:val="24"/>
        </w:rPr>
        <w:t xml:space="preserve"> – количество смен работы.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i/>
          <w:sz w:val="24"/>
          <w:szCs w:val="24"/>
        </w:rPr>
        <w:t>Действительный (плановый) фонд</w:t>
      </w:r>
      <w:r>
        <w:rPr>
          <w:sz w:val="24"/>
          <w:szCs w:val="24"/>
        </w:rPr>
        <w:t xml:space="preserve"> времени представляет собой максимально возможный фонд времени при заданном режиме работы с учетом затрат времени на капитальный и планово-предупредительный ремонт. Данные о затратах времени на проведение ремонтных работ содержаться в план-графике ремонта оборудования.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 условиях непрерывного процесса производства величина этого фонда равна: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– (Р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+ Р</w:t>
      </w:r>
      <w:r>
        <w:rPr>
          <w:sz w:val="24"/>
          <w:szCs w:val="24"/>
          <w:vertAlign w:val="subscript"/>
        </w:rPr>
        <w:t>п.п.</w:t>
      </w:r>
      <w:r>
        <w:rPr>
          <w:sz w:val="24"/>
          <w:szCs w:val="24"/>
        </w:rPr>
        <w:t xml:space="preserve"> )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Для прерывного процесса производства: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Ф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– (Р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+ Р</w:t>
      </w:r>
      <w:r>
        <w:rPr>
          <w:sz w:val="24"/>
          <w:szCs w:val="24"/>
          <w:vertAlign w:val="subscript"/>
        </w:rPr>
        <w:t>п.п.</w:t>
      </w:r>
      <w:r>
        <w:rPr>
          <w:sz w:val="24"/>
          <w:szCs w:val="24"/>
        </w:rPr>
        <w:t xml:space="preserve"> ),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где Р</w:t>
      </w:r>
      <w:r>
        <w:rPr>
          <w:sz w:val="24"/>
          <w:szCs w:val="24"/>
          <w:vertAlign w:val="subscript"/>
        </w:rPr>
        <w:t>к</w:t>
      </w:r>
      <w:r>
        <w:rPr>
          <w:sz w:val="24"/>
          <w:szCs w:val="24"/>
        </w:rPr>
        <w:t xml:space="preserve"> и Р</w:t>
      </w:r>
      <w:r>
        <w:rPr>
          <w:sz w:val="24"/>
          <w:szCs w:val="24"/>
          <w:vertAlign w:val="subscript"/>
        </w:rPr>
        <w:t>п.п</w:t>
      </w:r>
      <w:r>
        <w:rPr>
          <w:sz w:val="24"/>
          <w:szCs w:val="24"/>
        </w:rPr>
        <w:t xml:space="preserve"> – плановые затраты времени на капитальный и планово-предупредительный ремонт соответственно, ч.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Пример. Предприятие работает в две смены при 5-ти дневной рабочей неделе. Количество выходных и праздничных дней в плановом периоде 65 дня. Продолжительность смены 8 ч. Время на ремонт оборудования всех типов определено в размере 6,2% от режимного фонда.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Ф</w:t>
      </w:r>
      <w:r>
        <w:rPr>
          <w:i/>
          <w:sz w:val="24"/>
          <w:szCs w:val="24"/>
          <w:vertAlign w:val="subscript"/>
        </w:rPr>
        <w:t>к</w:t>
      </w:r>
      <w:r>
        <w:rPr>
          <w:i/>
          <w:sz w:val="24"/>
          <w:szCs w:val="24"/>
        </w:rPr>
        <w:t xml:space="preserve"> = 365*24 = 8760 ч. (календарный фонд единицы оборудования)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 xml:space="preserve"> = (Д</w:t>
      </w:r>
      <w:r>
        <w:rPr>
          <w:i/>
          <w:sz w:val="24"/>
          <w:szCs w:val="24"/>
          <w:vertAlign w:val="subscript"/>
        </w:rPr>
        <w:t>см</w:t>
      </w:r>
      <w:r>
        <w:rPr>
          <w:i/>
          <w:sz w:val="24"/>
          <w:szCs w:val="24"/>
        </w:rPr>
        <w:t xml:space="preserve"> (365 - Д</w:t>
      </w:r>
      <w:r>
        <w:rPr>
          <w:i/>
          <w:sz w:val="24"/>
          <w:szCs w:val="24"/>
          <w:vertAlign w:val="subscript"/>
        </w:rPr>
        <w:t>в</w:t>
      </w:r>
      <w:r>
        <w:rPr>
          <w:i/>
          <w:sz w:val="24"/>
          <w:szCs w:val="24"/>
        </w:rPr>
        <w:t xml:space="preserve"> - Д</w:t>
      </w:r>
      <w:r>
        <w:rPr>
          <w:i/>
          <w:sz w:val="24"/>
          <w:szCs w:val="24"/>
          <w:vertAlign w:val="subscript"/>
        </w:rPr>
        <w:t>п</w:t>
      </w:r>
      <w:r>
        <w:rPr>
          <w:i/>
          <w:sz w:val="24"/>
          <w:szCs w:val="24"/>
        </w:rPr>
        <w:t xml:space="preserve"> ) – </w:t>
      </w:r>
      <w:r>
        <w:rPr>
          <w:i/>
          <w:sz w:val="24"/>
          <w:szCs w:val="24"/>
          <w:lang w:val="en-US"/>
        </w:rPr>
        <w:t>t</w:t>
      </w:r>
      <w:r>
        <w:rPr>
          <w:i/>
          <w:sz w:val="24"/>
          <w:szCs w:val="24"/>
          <w:vertAlign w:val="subscript"/>
        </w:rPr>
        <w:t>н</w:t>
      </w:r>
      <w:r>
        <w:rPr>
          <w:i/>
          <w:sz w:val="24"/>
          <w:szCs w:val="24"/>
        </w:rPr>
        <w:t xml:space="preserve"> Д</w:t>
      </w:r>
      <w:r>
        <w:rPr>
          <w:i/>
          <w:sz w:val="24"/>
          <w:szCs w:val="24"/>
          <w:vertAlign w:val="subscript"/>
        </w:rPr>
        <w:t>п.д.</w:t>
      </w:r>
      <w:r>
        <w:rPr>
          <w:i/>
          <w:sz w:val="24"/>
          <w:szCs w:val="24"/>
        </w:rPr>
        <w:t xml:space="preserve"> ) К</w:t>
      </w:r>
      <w:r>
        <w:rPr>
          <w:i/>
          <w:sz w:val="24"/>
          <w:szCs w:val="24"/>
          <w:vertAlign w:val="subscript"/>
        </w:rPr>
        <w:t>см</w:t>
      </w:r>
      <w:r>
        <w:rPr>
          <w:i/>
          <w:sz w:val="24"/>
          <w:szCs w:val="24"/>
        </w:rPr>
        <w:t xml:space="preserve"> ,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 xml:space="preserve"> = 8 (365 - 65 ) 2 =4800 ч (режимный фонд единицы оборудования)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= 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 xml:space="preserve"> – (Р</w:t>
      </w:r>
      <w:r>
        <w:rPr>
          <w:i/>
          <w:sz w:val="24"/>
          <w:szCs w:val="24"/>
          <w:vertAlign w:val="subscript"/>
        </w:rPr>
        <w:t>к</w:t>
      </w:r>
      <w:r>
        <w:rPr>
          <w:i/>
          <w:sz w:val="24"/>
          <w:szCs w:val="24"/>
        </w:rPr>
        <w:t xml:space="preserve"> + Р</w:t>
      </w:r>
      <w:r>
        <w:rPr>
          <w:i/>
          <w:sz w:val="24"/>
          <w:szCs w:val="24"/>
          <w:vertAlign w:val="subscript"/>
        </w:rPr>
        <w:t>п.п.</w:t>
      </w:r>
      <w:r>
        <w:rPr>
          <w:i/>
          <w:sz w:val="24"/>
          <w:szCs w:val="24"/>
        </w:rPr>
        <w:t xml:space="preserve"> 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</w:t>
      </w:r>
      <w:r>
        <w:rPr>
          <w:i/>
          <w:sz w:val="24"/>
          <w:szCs w:val="24"/>
          <w:vertAlign w:val="subscript"/>
        </w:rPr>
        <w:t>к</w:t>
      </w:r>
      <w:r>
        <w:rPr>
          <w:i/>
          <w:sz w:val="24"/>
          <w:szCs w:val="24"/>
        </w:rPr>
        <w:t xml:space="preserve"> + Р</w:t>
      </w:r>
      <w:r>
        <w:rPr>
          <w:i/>
          <w:sz w:val="24"/>
          <w:szCs w:val="24"/>
          <w:vertAlign w:val="subscript"/>
        </w:rPr>
        <w:t>п.п.</w:t>
      </w:r>
      <w:r>
        <w:rPr>
          <w:i/>
          <w:sz w:val="24"/>
          <w:szCs w:val="24"/>
        </w:rPr>
        <w:t xml:space="preserve"> = Ф</w:t>
      </w:r>
      <w:r>
        <w:rPr>
          <w:i/>
          <w:sz w:val="24"/>
          <w:szCs w:val="24"/>
          <w:vertAlign w:val="subscript"/>
        </w:rPr>
        <w:t>р</w:t>
      </w:r>
      <w:r>
        <w:rPr>
          <w:i/>
          <w:sz w:val="24"/>
          <w:szCs w:val="24"/>
        </w:rPr>
        <w:t>*0,03=4800*0,062=300 ч (время на ремонт единицы оборудования)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Фд</m:t>
        </m:r>
        <m:r>
          <w:rPr>
            <w:rFonts w:ascii="Cambria Math" w:hAnsi="Cambria Math"/>
          </w:rPr>
          <m:t xml:space="preserve">=</m:t>
        </m:r>
      </m:oMath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= 4800 – 300 = 4500 ч (действительный фонд работы единицы оборудования).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Результаты по определению действительного фонда времени работы оборудования можно оформить в виде таблицы:</w:t>
      </w:r>
    </w:p>
    <w:p>
      <w:pPr>
        <w:pStyle w:val="Caption1"/>
        <w:rPr>
          <w:i/>
          <w:i/>
        </w:rPr>
      </w:pPr>
      <w:r>
        <w:rPr>
          <w:i/>
        </w:rPr>
        <w:t>Таблица.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4</w:t>
      </w:r>
      <w:r>
        <w:rPr>
          <w:i/>
        </w:rPr>
        <w:fldChar w:fldCharType="end"/>
      </w:r>
      <w:r>
        <w:rPr>
          <w:i/>
        </w:rPr>
        <w:t xml:space="preserve"> Расчет действительного фонда времени работы оборудования механического участка (цеха)</w:t>
      </w:r>
    </w:p>
    <w:tbl>
      <w:tblPr>
        <w:tblW w:w="9356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985"/>
        <w:gridCol w:w="1701"/>
        <w:gridCol w:w="2976"/>
        <w:gridCol w:w="2693"/>
      </w:tblGrid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Группа оборудования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Количество единиц оборудования (</w:t>
            </w:r>
            <w:r>
              <w:rPr>
                <w:i/>
                <w:lang w:val="en-US"/>
              </w:rPr>
              <w:t>k</w:t>
            </w:r>
            <w:r>
              <w:rPr>
                <w:i/>
              </w:rPr>
              <w:t>), шт.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 xml:space="preserve">Действительный фонд времени единицы оборудования при </w:t>
            </w:r>
            <w:r>
              <w:rPr>
                <w:i/>
                <w:lang w:val="en-US"/>
              </w:rPr>
              <w:t>s</w:t>
            </w:r>
            <w:r>
              <w:rPr>
                <w:i/>
              </w:rPr>
              <w:t>-сменном режиме работы (</w:t>
            </w:r>
            <w:r>
              <w:rPr/>
            </w:r>
            <m:oMath xmlns:m="http://schemas.openxmlformats.org/officeDocument/2006/math"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i/>
              </w:rPr>
              <w:t>), ч.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Действительный фонд времени оборудования (</w:t>
            </w:r>
            <w:r>
              <w:rPr/>
            </w:r>
            <m:oMath xmlns:m="http://schemas.openxmlformats.org/officeDocument/2006/math">
              <m:sSub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общий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k</m:t>
              </m:r>
            </m:oMath>
            <w:r>
              <w:rPr>
                <w:i/>
              </w:rPr>
              <w:t>), ч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270000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202500</w:t>
            </w:r>
          </w:p>
        </w:tc>
      </w:tr>
      <w:tr>
        <w:trPr/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65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292500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Условно для примера определим действительный (плановый) фонд времени использования квадратного метра площади сборочного цеха, с учетом затрат времени на ремонты: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Фд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</m:oMath>
      <w:r>
        <w:rPr>
          <w:i/>
          <w:sz w:val="24"/>
          <w:szCs w:val="24"/>
        </w:rPr>
        <w:t>4224 ч.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Расчет наличной производственной мощности.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Расчет производственной мощности предприятия ведется по всем его подразделениям в следующей последовательности:</w:t>
      </w:r>
    </w:p>
    <w:p>
      <w:pPr>
        <w:pStyle w:val="Normal"/>
        <w:numPr>
          <w:ilvl w:val="0"/>
          <w:numId w:val="1"/>
        </w:numPr>
        <w:tabs>
          <w:tab w:val="left" w:pos="204" w:leader="none"/>
          <w:tab w:val="left" w:pos="583" w:leader="none"/>
          <w:tab w:val="left" w:pos="1080" w:leader="none"/>
        </w:tabs>
        <w:spacing w:lineRule="auto" w:line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расчет производственной мощности по видам агрегатов и группам технологического оборудования,</w:t>
      </w:r>
    </w:p>
    <w:p>
      <w:pPr>
        <w:pStyle w:val="Normal"/>
        <w:numPr>
          <w:ilvl w:val="0"/>
          <w:numId w:val="1"/>
        </w:numPr>
        <w:tabs>
          <w:tab w:val="left" w:pos="204" w:leader="none"/>
          <w:tab w:val="left" w:pos="583" w:leader="none"/>
          <w:tab w:val="left" w:pos="1080" w:leader="none"/>
        </w:tabs>
        <w:spacing w:lineRule="auto" w:line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по производственным участкам,</w:t>
      </w:r>
    </w:p>
    <w:p>
      <w:pPr>
        <w:pStyle w:val="Normal"/>
        <w:numPr>
          <w:ilvl w:val="0"/>
          <w:numId w:val="1"/>
        </w:numPr>
        <w:tabs>
          <w:tab w:val="left" w:pos="204" w:leader="none"/>
          <w:tab w:val="left" w:pos="583" w:leader="none"/>
          <w:tab w:val="left" w:pos="1080" w:leader="none"/>
        </w:tabs>
        <w:spacing w:lineRule="auto" w:line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по основным цехам и предприятию в целом.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Производственная мощность предприятия определяется по мощности ведущих цехов, цеха – по мощности ведущих участков, участка – по мощности ведущего оборудования (см. схему 2). К ведущим объектам относится  оборудование, участки, цеха, в которых выполняются наиболее трудоемкие технологические процессы, а также операции по изготовлению деталей, узлов и изделий (либо уникальное оборудование, либо оборудование, ограничивающее выпуск продукции).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Производственная мощность исчисляется на базе прогрессивных норм производительности оборудования и трудоемкости продукции при применении прогрессивной технологии, передовой организации производства и труда. Если же нормы не являются технически обоснованными, то при расчете производственной мощности применяются действующие нормы с учетом коэффициента их выполнения, достигнутого передовыми рабочими по данной или сходной работе.</w:t>
      </w:r>
    </w:p>
    <w:p>
      <w:pPr>
        <w:pStyle w:val="Normal"/>
        <w:spacing w:lineRule="auto" w:line="240"/>
        <w:ind w:left="384" w:firstLine="325"/>
        <w:rPr>
          <w:sz w:val="24"/>
          <w:szCs w:val="24"/>
        </w:rPr>
      </w:pPr>
      <w:r>
        <w:rPr>
          <w:sz w:val="24"/>
          <w:szCs w:val="24"/>
          <w:u w:val="single"/>
        </w:rPr>
        <w:t>Производственная мощность группы оборудования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Производственная мощность единицы оборудования зависит от действительного фонда времени его работы и от нормы времени на изготовление единицы изделия.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ПМео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Фд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k</m:t>
              </m:r>
            </m:e>
          </m:bar>
        </m:oMath>
      </m:oMathPara>
    </w:p>
    <w:p>
      <w:pPr>
        <w:pStyle w:val="Normal"/>
        <w:widowControl/>
        <w:tabs>
          <w:tab w:val="clear" w:pos="204"/>
          <w:tab w:val="clear" w:pos="583"/>
        </w:tabs>
        <w:spacing w:lineRule="auto" w:line="240" w:before="0" w:after="160"/>
        <w:ind w:hanging="0"/>
        <w:jc w:val="left"/>
        <w:rPr/>
      </w:pPr>
      <w:r>
        <w:rPr/>
      </w:r>
    </w:p>
    <w:p>
      <w:pPr>
        <w:pStyle w:val="Normal"/>
        <w:widowControl/>
        <w:tabs>
          <w:tab w:val="clear" w:pos="204"/>
          <w:tab w:val="clear" w:pos="583"/>
        </w:tabs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left="384" w:firstLine="720"/>
        <w:rPr/>
      </w:pPr>
      <w:r>
        <w:rPr/>
        <mc:AlternateContent>
          <mc:Choice Requires="wpg">
            <w:drawing>
              <wp:anchor behindDoc="0" distT="5080" distB="4445" distL="5715" distR="4445" simplePos="0" locked="0" layoutInCell="0" allowOverlap="1" relativeHeight="3">
                <wp:simplePos x="0" y="0"/>
                <wp:positionH relativeFrom="column">
                  <wp:posOffset>13970</wp:posOffset>
                </wp:positionH>
                <wp:positionV relativeFrom="paragraph">
                  <wp:posOffset>191770</wp:posOffset>
                </wp:positionV>
                <wp:extent cx="6216650" cy="3827780"/>
                <wp:effectExtent l="5715" t="5080" r="4445" b="4445"/>
                <wp:wrapNone/>
                <wp:docPr id="1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480" cy="3827880"/>
                          <a:chOff x="0" y="0"/>
                          <a:chExt cx="6216480" cy="3827880"/>
                        </a:xfrm>
                      </wpg:grpSpPr>
                      <wps:wsp>
                        <wps:cNvSpPr/>
                        <wps:spPr>
                          <a:xfrm>
                            <a:off x="1005840" y="548640"/>
                            <a:ext cx="720" cy="1029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648360"/>
                            <a:ext cx="2185200" cy="527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>Производственная мощность группы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 xml:space="preserve">оборудования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>(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634400"/>
                            <a:ext cx="2193120" cy="54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>Производственная мощность участка  (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548800"/>
                            <a:ext cx="2010240" cy="54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>Производственная мощность цеха (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371760"/>
                            <a:ext cx="2010240" cy="45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>Производственная мощность предприятия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cs="" w:cstheme="minorBidi" w:ascii="Times New Roman" w:hAnsi="Times New Roman" w:eastAsia="Calibri"/>
                                  <w:color w:val="00000A"/>
                                  <w:lang w:eastAsia="en-US"/>
                                </w:rPr>
                                <w:t xml:space="preserve"> (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cs="" w:cstheme="minorBidi" w:ascii="Times New Roman" w:hAnsi="Times New Roman" w:eastAsia="Calibri"/>
                                  <w:color w:val="00000A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640080"/>
                            <a:ext cx="2825280" cy="55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Times New Roman" w:hAnsi="Times New Roman"/>
                                  <w:color w:val="00000A"/>
                                  <w:lang w:eastAsia="en-US"/>
                                </w:rPr>
                                <w:t xml:space="preserve"> или 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1268640"/>
                            <a:ext cx="2833200" cy="40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alibri" w:hAnsi="Calibri"/>
                                  <w:color w:val="00000A"/>
                                  <w:lang w:eastAsia="en-US" w:val="en-US"/>
                                </w:rPr>
                                <w:t xml:space="preserve"> = k * </w:t>
                              </w:r>
                            </w:p>
                          </w:txbxContent>
                        </wps:txbx>
                        <wps:bodyPr lIns="90000" rIns="90000" tIns="402480" bIns="40248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1817280"/>
                            <a:ext cx="2832840" cy="54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Times New Roman" w:hAnsi="Times New Roman"/>
                                  <w:color w:val="00000A"/>
                                  <w:lang w:eastAsia="en-US" w:val="en-US"/>
                                </w:rPr>
                                <w:t>= Пропускная способность ведущего оборудования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2548800"/>
                            <a:ext cx="2832840" cy="54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Times New Roman" w:hAnsi="Times New Roman"/>
                                  <w:color w:val="00000A"/>
                                  <w:lang w:eastAsia="en-US" w:val="en-US"/>
                                </w:rPr>
                                <w:t>= Пропускная способность ведущего участка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3280320"/>
                            <a:ext cx="2832840" cy="54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Times New Roman" w:hAnsi="Times New Roman"/>
                                  <w:color w:val="00000A"/>
                                  <w:lang w:eastAsia="en-US" w:val="en-US"/>
                                </w:rPr>
                                <w:t>= Пропускная способность ведущего цеха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2194560" y="1451520"/>
                            <a:ext cx="1188720" cy="2973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4560" y="1931760"/>
                            <a:ext cx="1188720" cy="1605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840" y="2206080"/>
                            <a:ext cx="720" cy="3434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840" y="3097440"/>
                            <a:ext cx="720" cy="2743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193120" cy="527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eastAsia="Calibri" w:ascii="Times New Roman" w:hAnsi="Times New Roman"/>
                                  <w:color w:val="00000A"/>
                                  <w:lang w:eastAsia="en-US"/>
                                </w:rPr>
                                <w:t>Производственная мощность единицы оборудования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rFonts w:cs="" w:cstheme="minorBidi" w:eastAsia="Calibri" w:ascii="Times New Roman" w:hAnsi="Times New Roman"/>
                                  <w:color w:val="00000A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cs="" w:cstheme="minorBidi" w:eastAsia="Calibri" w:ascii="Times New Roman" w:hAnsi="Times New Roman"/>
                                  <w:color w:val="00000A"/>
                                  <w:lang w:eastAsia="en-US"/>
                                </w:rPr>
                                <w:t>(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cs="" w:cstheme="minorBidi" w:eastAsia="Calibri" w:ascii="Times New Roman" w:hAnsi="Times New Roman"/>
                                  <w:color w:val="00000A"/>
                                  <w:lang w:eastAsia="en-US"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0000" rIns="90000" tIns="284400" bIns="2844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3280" y="102960"/>
                            <a:ext cx="2784600" cy="34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4560" y="285840"/>
                            <a:ext cx="118872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4560" y="925920"/>
                            <a:ext cx="118872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5840" y="1200240"/>
                            <a:ext cx="720" cy="457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3577680"/>
                            <a:ext cx="13716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1.1pt;margin-top:15.1pt;width:489.5pt;height:301.4pt" coordorigin="22,302" coordsize="9790,6028">
                <v:line id="shape_0" from="1606,1166" to="1606,1327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35;top:1323;width:3440;height:83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>Производственная мощность группы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оборудования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>(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cs="" w:cstheme="minorBidi" w:ascii="Times New Roman" w:hAnsi="Times New Roman" w:eastAsia="Calibri"/>
                            <w:color w:val="00000A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22;top:2876;width:3453;height:8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>Производственная мощность участка  (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22;top:4316;width:3165;height:8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>Производственная мощность цеха (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22;top:5612;width:3165;height:71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>Производственная мощность предприятия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(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cs="" w:cstheme="minorBidi" w:ascii="Times New Roman" w:hAnsi="Times New Roman" w:eastAsia="Calibri"/>
                            <w:color w:val="00000A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350;top:1310;width:4448;height:8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Times New Roman" w:hAnsi="Times New Roman"/>
                            <w:color w:val="00000A"/>
                            <w:lang w:eastAsia="en-US"/>
                          </w:rPr>
                          <w:t xml:space="preserve"> или 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350;top:2300;width:4461;height:63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alibri" w:hAnsi="Calibri"/>
                            <w:color w:val="00000A"/>
                            <w:lang w:eastAsia="en-US" w:val="en-US"/>
                          </w:rPr>
                          <w:t xml:space="preserve"> = k * 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350;top:3164;width:4460;height:8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Times New Roman" w:hAnsi="Times New Roman"/>
                            <w:color w:val="00000A"/>
                            <w:lang w:eastAsia="en-US" w:val="en-US"/>
                          </w:rPr>
                          <w:t>= Пропускная способность ведущего оборудования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350;top:4316;width:4460;height:8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Times New Roman" w:hAnsi="Times New Roman"/>
                            <w:color w:val="00000A"/>
                            <w:lang w:eastAsia="en-US" w:val="en-US"/>
                          </w:rPr>
                          <w:t>= Пропускная способность ведущего участка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350;top:5468;width:4460;height:8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Times New Roman" w:hAnsi="Times New Roman"/>
                            <w:color w:val="00000A"/>
                            <w:lang w:eastAsia="en-US" w:val="en-US"/>
                          </w:rPr>
                          <w:t>= Пропускная способность ведущего цеха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3478,2588" to="5349,3055" stroked="t" o:allowincell="f" style="position:absolute;flip:y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478,3344" to="5349,3596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606,3776" to="1606,4316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606,5180" to="1606,561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22;top:302;width:3453;height:83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eastAsia="Calibri" w:ascii="Times New Roman" w:hAnsi="Times New Roman"/>
                            <w:color w:val="00000A"/>
                            <w:lang w:eastAsia="en-US"/>
                          </w:rPr>
                          <w:t>Производственная мощность единицы оборудования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rFonts w:cs="" w:cstheme="minorBidi" w:eastAsia="Calibri" w:ascii="Times New Roman" w:hAnsi="Times New Roman"/>
                            <w:color w:val="00000A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  <w:rFonts w:cs="" w:cstheme="minorBidi" w:eastAsia="Calibri" w:ascii="Times New Roman" w:hAnsi="Times New Roman"/>
                            <w:color w:val="00000A"/>
                            <w:lang w:eastAsia="en-US"/>
                          </w:rPr>
                          <w:t>(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  <w:rFonts w:cs="" w:cstheme="minorBidi" w:eastAsia="Calibri" w:ascii="Times New Roman" w:hAnsi="Times New Roman"/>
                            <w:color w:val="00000A"/>
                            <w:lang w:eastAsia="en-US" w:val="en-US"/>
                          </w:rPr>
                          <w:t>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rect>
                <v:rect id="shape_0" path="m0,0l-2147483645,0l-2147483645,-2147483646l0,-2147483646xe" fillcolor="white" stroked="t" o:allowincell="f" style="position:absolute;left:5350;top:464;width:4384;height:536;mso-wrap-style:none;v-text-anchor:middle">
                  <v:fill o:detectmouseclick="t" type="solid" color2="black"/>
                  <v:stroke color="black" weight="9360" joinstyle="miter" endcap="flat"/>
                  <w10:wrap type="none"/>
                </v:rect>
                <v:line id="shape_0" from="3478,752" to="5349,75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478,1760" to="5349,176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606,2192" to="1606,291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190,5936" to="5349,5936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  <mc:AlternateContent>
          <mc:Choice Requires="wps">
            <w:drawing>
              <wp:anchor behindDoc="0" distT="38100" distB="38100" distL="5080" distR="635" simplePos="0" locked="0" layoutInCell="0" allowOverlap="1" relativeHeight="2">
                <wp:simplePos x="0" y="0"/>
                <wp:positionH relativeFrom="column">
                  <wp:posOffset>2025650</wp:posOffset>
                </wp:positionH>
                <wp:positionV relativeFrom="paragraph">
                  <wp:posOffset>2226310</wp:posOffset>
                </wp:positionV>
                <wp:extent cx="1371600" cy="0"/>
                <wp:effectExtent l="5080" t="38100" r="635" b="38100"/>
                <wp:wrapNone/>
                <wp:docPr id="2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175.3pt" to="267.45pt,175.3pt" ID="Прямая соединительная линия 1" stroked="t" o:allowincell="f" style="position:absolute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Normal"/>
        <w:ind w:left="384" w:firstLine="720"/>
        <w:rPr/>
      </w:pPr>
      <w:r>
        <w:rPr/>
      </w:r>
    </w:p>
    <w:p>
      <w:pPr>
        <w:pStyle w:val="Caption1"/>
        <w:jc w:val="center"/>
        <w:rPr/>
      </w:pPr>
      <w:r>
        <w:rPr/>
        <w:t xml:space="preserve">Схема </w:t>
      </w:r>
      <w:r>
        <w:rPr/>
        <w:fldChar w:fldCharType="begin"/>
      </w:r>
      <w:r>
        <w:rPr/>
        <w:instrText xml:space="preserve"> SEQ Схема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Расчет производственной мощности предприятия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Величина мощности группы технологически однородного оборудования, выпускающего одинаковую продукцию или перерабатывающего сырье (материалы), рассчитывается по формуле: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Пр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Фд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Фд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пр</m:t>
                </m:r>
              </m:sup>
            </m:sSubSup>
          </m:den>
        </m:f>
      </m:oMath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– количество единиц установленного оборудования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типа, шт.;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Пр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– часовая производительность единицы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 оборудования, физ.ед.;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Фд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– действительный фонд времени единицы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 оборудования, ч.;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пр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sub>
        </m:sSub>
      </m:oMath>
      <w:r>
        <w:rPr>
          <w:sz w:val="24"/>
          <w:szCs w:val="24"/>
        </w:rPr>
        <w:t xml:space="preserve"> – норма  времени на изготовление единицы изделия по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>- ой группе оборудования на участке, ст.-ч./ед.</w:t>
      </w:r>
    </w:p>
    <w:p>
      <w:pPr>
        <w:pStyle w:val="Normal"/>
        <w:spacing w:lineRule="auto" w:line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Производственная мощность участка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Вариант 1. Производственная мощность участка с однотипным оборудованием и одинаковой номенклатурой (например, участок с технологической специализацией), рассчитывается по формуле: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ПМу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*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ПМео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– количество установленного оборудования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sz w:val="24"/>
          <w:szCs w:val="24"/>
        </w:rPr>
        <w:t xml:space="preserve">-го типа, шт.;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ПМео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  <w:szCs w:val="24"/>
        </w:rPr>
        <w:t xml:space="preserve"> – производственная мощность единицы оборудования, физ. ед. нормо-ч.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Вариант 2. Производственная мощность участка, оснащенного разнообразными группами оборудования, оценивается пропускной способностью парка ведущей группы оборудования. Пропускная способность определяется как полезный фонд времени работы оборудования в плановом периоде.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Фд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Пример. Расчет наличной производственной мощности участка (механического цеха) представлен в таблице 5.5.</w:t>
      </w:r>
      <w:r>
        <w:br w:type="page"/>
      </w:r>
    </w:p>
    <w:p>
      <w:pPr>
        <w:pStyle w:val="Caption1"/>
        <w:rPr>
          <w:i/>
          <w:i/>
        </w:rPr>
      </w:pPr>
      <w:r>
        <w:rPr>
          <w:i/>
        </w:rPr>
        <w:t xml:space="preserve">Таблица 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  <w:fldChar w:fldCharType="end"/>
      </w:r>
      <w:r>
        <w:rPr>
          <w:i/>
        </w:rPr>
        <w:t xml:space="preserve"> Расчет производственной мощности участка (механического цеха) на основе условного изделия</w:t>
      </w:r>
    </w:p>
    <w:tbl>
      <w:tblPr>
        <w:tblW w:w="9639" w:type="dxa"/>
        <w:jc w:val="left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984"/>
        <w:gridCol w:w="850"/>
        <w:gridCol w:w="851"/>
        <w:gridCol w:w="992"/>
        <w:gridCol w:w="1561"/>
        <w:gridCol w:w="993"/>
        <w:gridCol w:w="1418"/>
        <w:gridCol w:w="988"/>
      </w:tblGrid>
      <w:tr>
        <w:trPr>
          <w:trHeight w:val="2600" w:hRule="atLeast"/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Вид оборудования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Полезный фонд работы 1 шт. оборудования, ч.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Количество единиц оборудования (</w:t>
            </w:r>
            <w:r>
              <w:rPr>
                <w:i/>
                <w:lang w:val="en-US"/>
              </w:rPr>
              <w:t>k</w:t>
            </w:r>
            <w:r>
              <w:rPr>
                <w:i/>
              </w:rPr>
              <w:t>), шт.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Пропускная способность (П</w:t>
            </w:r>
            <w:r>
              <w:rPr>
                <w:i/>
                <w:vertAlign w:val="subscript"/>
                <w:lang w:val="en-US"/>
              </w:rPr>
              <w:t>i</w:t>
            </w:r>
            <w:r>
              <w:rPr>
                <w:i/>
                <w:lang w:val="en-US"/>
              </w:rPr>
              <w:t>), ч.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Норма времени на изготовление единицы условного изделия, нормо-ч./ед. (действующая норма)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Прогрессивный коэффициент выполнения норм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Норма времени на изготовление единицы условного изделия, нормо-ч./ед. (прогрессивная норма)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extBody"/>
              <w:widowControl w:val="false"/>
              <w:spacing w:before="0" w:after="120"/>
              <w:ind w:left="113" w:right="113" w:hanging="0"/>
              <w:rPr>
                <w:i/>
                <w:i/>
              </w:rPr>
            </w:pPr>
            <w:r>
              <w:rPr>
                <w:i/>
              </w:rPr>
              <w:t>Возможный выпуск - Производственная мощность, шт.</w:t>
            </w:r>
          </w:p>
        </w:tc>
      </w:tr>
      <w:tr>
        <w:trPr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270000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0</w:t>
            </w:r>
            <w:r>
              <w:rPr>
                <w:i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1.25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2.47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109311</w:t>
            </w:r>
          </w:p>
        </w:tc>
      </w:tr>
      <w:tr>
        <w:trPr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45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202500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1.31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2.</w:t>
            </w:r>
            <w:r>
              <w:rPr>
                <w:i/>
                <w:color w:val="000000"/>
                <w:lang w:val="en-US"/>
              </w:rPr>
              <w:t>40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10"/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  <w:lang w:val="en-US"/>
              </w:rPr>
              <w:t>84375</w:t>
            </w:r>
          </w:p>
        </w:tc>
      </w:tr>
      <w:tr>
        <w:trPr>
          <w:cantSplit w:val="true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65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292500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1.2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2.69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108736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Рассчитав пропускную способность групп оборудования, следует выделить ведущую группу оборудования. В данном  случае это оборудование 2-го типа.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Рассчитанный возможный выпуск продукции по ведущей группе оборудования является производственной мощностью участка.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Производственная мощность участка, цеха, ориентированного на размер производственной площади, определяется пропускной способностью, рассчитанной по формуле:</w:t>
      </w:r>
    </w:p>
    <w:p>
      <w:pPr>
        <w:pStyle w:val="Normal"/>
        <w:spacing w:lineRule="auto" w:line="240"/>
        <w:jc w:val="left"/>
        <w:rPr>
          <w:sz w:val="24"/>
          <w:szCs w:val="24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П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Д</m:t>
              </m:r>
            </m:e>
            <m:sub>
              <m:sSup>
                <m:e>
                  <m:r>
                    <w:rPr>
                      <w:rFonts w:ascii="Cambria Math" w:hAnsi="Cambria Math"/>
                    </w:rPr>
                    <m:t xml:space="preserve">м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Пример. На основании данных примера пропускная способность сборочного участка (цеха)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П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4224</m:t>
        </m:r>
        <m:r>
          <w:rPr>
            <w:rFonts w:ascii="Cambria Math" w:hAnsi="Cambria Math"/>
          </w:rPr>
          <m:t xml:space="preserve">ч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∗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2112000</m:t>
        </m:r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ч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Caption1"/>
        <w:rPr>
          <w:i/>
          <w:i/>
        </w:rPr>
      </w:pPr>
      <w:r>
        <w:rPr>
          <w:i/>
        </w:rPr>
        <w:t xml:space="preserve">Таблица </w:t>
      </w:r>
      <w:r>
        <w:fldChar w:fldCharType="begin"/>
      </w:r>
      <w:r>
        <w:rPr>
          <w:i/>
        </w:rPr>
        <w:instrText xml:space="preserve">STYLEREF 1 \s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</w: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6</w:t>
      </w:r>
      <w:r>
        <w:rPr>
          <w:i/>
        </w:rPr>
        <w:fldChar w:fldCharType="end"/>
      </w:r>
      <w:r>
        <w:rPr>
          <w:i/>
        </w:rPr>
        <w:t xml:space="preserve"> Расчет возможного выпуска продукции на участке (сборочный цех) на основе условного изделия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6"/>
        <w:gridCol w:w="1701"/>
        <w:gridCol w:w="1135"/>
        <w:gridCol w:w="1417"/>
        <w:gridCol w:w="1561"/>
        <w:gridCol w:w="1417"/>
        <w:gridCol w:w="849"/>
      </w:tblGrid>
      <w:tr>
        <w:trPr>
          <w:trHeight w:val="1765" w:hRule="atLeast"/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Производственный участок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Действительный фонд времени использования м2. при 2-сменном режиме, ч.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Площадь участка (цеха),м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Пропускная способность,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-ч..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Трудоемкость  проекта выпуска,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-ч.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Излишек/дефицит,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 xml:space="preserve">-ч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Возможный выпуск условных изделий, шт.</w:t>
            </w:r>
          </w:p>
        </w:tc>
      </w:tr>
      <w:tr>
        <w:trPr>
          <w:cantSplit w:val="true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</w:rPr>
            </w:pPr>
            <w:r>
              <w:rPr>
                <w:i/>
              </w:rPr>
              <w:t>Сборочный участок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4224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2112000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2180000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-68000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96880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single"/>
        </w:rPr>
        <w:t>Производственная мощность цеха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После определения мощности участков рассчитывается производственная мощность цеха, которая принимается равной мощности ведущего участка, входящего в состав данного цеха.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  <w:u w:val="single"/>
        </w:rPr>
        <w:t>Производственная мощность предприятия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Рассчитав возможности цехов по выполнению производственной программы, определяется мощность предприятия по отдельным позициям номенклатуры, предусмотренной программой, которая принимается равной мощности ведущего цеха.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E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055b"/>
    <w:pPr>
      <w:widowControl w:val="false"/>
      <w:tabs>
        <w:tab w:val="clear" w:pos="708"/>
        <w:tab w:val="left" w:pos="204" w:leader="none"/>
        <w:tab w:val="left" w:pos="583" w:leader="none"/>
      </w:tabs>
      <w:suppressAutoHyphens w:val="true"/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b3055b"/>
    <w:rPr>
      <w:rFonts w:ascii="TimesET" w:hAnsi="TimesET" w:eastAsia="Times New Roman" w:cs="Times New Roman"/>
      <w:sz w:val="24"/>
      <w:szCs w:val="20"/>
      <w:lang w:val="en-GB" w:eastAsia="ru-RU"/>
    </w:rPr>
  </w:style>
  <w:style w:type="character" w:styleId="Style15" w:customStyle="1">
    <w:name w:val="Верхний колонтитул Знак"/>
    <w:basedOn w:val="DefaultParagraphFont"/>
    <w:link w:val="Header"/>
    <w:semiHidden/>
    <w:qFormat/>
    <w:rsid w:val="0065072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semiHidden/>
    <w:rsid w:val="00b3055b"/>
    <w:pPr>
      <w:spacing w:before="0" w:after="120"/>
    </w:pPr>
    <w:rPr>
      <w:rFonts w:ascii="TimesET" w:hAnsi="TimesET"/>
      <w:sz w:val="24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b3055b"/>
    <w:pPr>
      <w:spacing w:lineRule="auto" w:line="240"/>
      <w:jc w:val="right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semiHidden/>
    <w:rsid w:val="0065072a"/>
    <w:pPr>
      <w:widowControl/>
      <w:tabs>
        <w:tab w:val="clear" w:pos="204"/>
        <w:tab w:val="clear" w:pos="583"/>
        <w:tab w:val="center" w:pos="4153" w:leader="none"/>
        <w:tab w:val="right" w:pos="8306" w:leader="none"/>
      </w:tabs>
      <w:spacing w:lineRule="auto" w:line="240"/>
      <w:jc w:val="left"/>
    </w:pPr>
    <w:rPr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8</Pages>
  <Words>596</Words>
  <Characters>4471</Characters>
  <CharactersWithSpaces>5000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2017-02-27T08:34:00Z</dcterms:created>
  <dc:creator>Melkikh, Elena</dc:creator>
  <dc:description/>
  <dc:language>en-US</dc:language>
  <cp:lastModifiedBy>Melkikh, Elena</cp:lastModifiedBy>
  <dcterms:modified xsi:type="dcterms:W3CDTF">2017-03-02T13:56:00Z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