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 slide</w:t>
      </w:r>
    </w:p>
    <w:p>
      <w:pPr>
        <w:pStyle w:val="Normal"/>
        <w:rPr/>
      </w:pPr>
      <w:r>
        <w:rPr/>
        <w:t xml:space="preserve">Добрый день, меня зовут Михаил Зелёный и сегодня я расскажу как гамма-излучение может </w:t>
      </w:r>
      <w:r>
        <w:rPr/>
        <w:t>применяться</w:t>
      </w:r>
      <w:r>
        <w:rPr/>
        <w:t xml:space="preserve"> для анализа содержимого транспортных контейнеров.</w:t>
      </w:r>
    </w:p>
    <w:p>
      <w:pPr>
        <w:pStyle w:val="Normal"/>
        <w:rPr/>
      </w:pPr>
      <w:r>
        <w:rPr/>
        <w:t>2 slide</w:t>
      </w:r>
    </w:p>
    <w:p>
      <w:pPr>
        <w:pStyle w:val="Normal"/>
        <w:rPr/>
      </w:pPr>
      <w:r>
        <w:rPr/>
        <w:t>*</w:t>
      </w:r>
      <w:r>
        <w:rPr/>
        <w:t>Читаю со слайда*</w:t>
      </w:r>
    </w:p>
    <w:p>
      <w:pPr>
        <w:pStyle w:val="Normal"/>
        <w:rPr/>
      </w:pPr>
      <w:r>
        <w:rPr/>
        <w:t>3 slide</w:t>
      </w:r>
    </w:p>
    <w:p>
      <w:pPr>
        <w:pStyle w:val="Normal"/>
        <w:rPr/>
      </w:pPr>
      <w:r>
        <w:rPr/>
        <w:t>Для начала рассмотрим как происходит уменьшение потока гамма-квантов. Прозрачность (</w:t>
      </w:r>
      <w:bookmarkStart w:id="0" w:name="__DdeLink__162_34406562"/>
      <w:r>
        <w:rPr/>
        <w:t>transmittance</w:t>
      </w:r>
      <w:bookmarkEnd w:id="0"/>
      <w:r>
        <w:rPr/>
        <w:t xml:space="preserve">) описывается этой формулой, </w:t>
      </w:r>
      <w:r>
        <w:rPr/>
        <w:t>и зависит от оптической толщины материала и предельной энергии спектра гамма-излучения</w:t>
      </w:r>
      <w:r>
        <w:rPr/>
        <w:t xml:space="preserve">. Мы предполагаем что в качестве источника гамма-лучей используется тормозное излучение, со спектром к\например как на этой картинке и с предельной </w:t>
      </w:r>
      <w:r>
        <w:rPr/>
        <w:t>энергией</w:t>
      </w:r>
      <w:r>
        <w:rPr/>
        <w:t xml:space="preserve"> зависящей от энергии электронного пучка.  Наша прозрачность также зависит от среднего коэффициента ослабления материала. На графике показана </w:t>
      </w:r>
      <w:r>
        <w:rPr/>
        <w:t>зависимость</w:t>
      </w:r>
      <w:r>
        <w:rPr/>
        <w:t xml:space="preserve"> </w:t>
      </w:r>
      <w:r>
        <w:rPr/>
        <w:t>коэффициента</w:t>
      </w:r>
      <w:r>
        <w:rPr/>
        <w:t xml:space="preserve"> ослабление от энергии для разных материалов. Мы можем выделить три области: начальную в которой доминирует фотоэффект и выделяются только материалы с большим зарядом ядра , среднюю в которой доминирует комптоновское рассеяние и материалы не различимы, и область где основное влияние оказывают рождение электрон-позитронных пар, и материалы достаточно хорошо различимы и может быть использована для метода дуальных энергий, котором я расскажу на следующем слайде.</w:t>
      </w:r>
    </w:p>
    <w:p>
      <w:pPr>
        <w:pStyle w:val="Normal"/>
        <w:rPr/>
      </w:pPr>
      <w:r>
        <w:rPr/>
        <w:t>4 slide</w:t>
      </w:r>
    </w:p>
    <w:p>
      <w:pPr>
        <w:pStyle w:val="Normal"/>
        <w:rPr/>
      </w:pPr>
      <w:r>
        <w:rPr/>
        <w:t>Метод дуальных энергий основан на использовании двух электронных пучков с разными энергиями. Поскольку формула с предыдущего слайда не дает определить заряд ядра, если не известна оптическая толщина материал, для решения этой проблемы мы рассмотри прозрачность для двух предельных энергий гамма-излучения, и тогда минимизируя данный функционал, мы исключаем из рассмотрения неизвестную нам оптическую толщину и определяем средний заряд материала. Это метод позволяет отнести сканируемый объект к одной из этих четырех групп.</w:t>
      </w:r>
    </w:p>
    <w:p>
      <w:pPr>
        <w:pStyle w:val="Normal"/>
        <w:rPr/>
      </w:pPr>
      <w:r>
        <w:rPr/>
        <w:t>5 slide</w:t>
      </w:r>
    </w:p>
    <w:p>
      <w:pPr>
        <w:pStyle w:val="Normal"/>
        <w:rPr/>
      </w:pPr>
      <w:r>
        <w:rPr/>
        <w:t>Эта методика имеет некоторые недостатки. *читаю со слайда*</w:t>
      </w:r>
    </w:p>
    <w:p>
      <w:pPr>
        <w:pStyle w:val="Normal"/>
        <w:rPr/>
      </w:pPr>
      <w:r>
        <w:rPr/>
        <w:t>Поэтому мы предлагаем альтернативную методику. *читаю со слайда*</w:t>
      </w:r>
    </w:p>
    <w:p>
      <w:pPr>
        <w:pStyle w:val="Normal"/>
        <w:rPr/>
      </w:pPr>
      <w:r>
        <w:rPr/>
        <w:t>6 slide</w:t>
      </w:r>
    </w:p>
    <w:p>
      <w:pPr>
        <w:pStyle w:val="Normal"/>
        <w:rPr/>
      </w:pPr>
      <w:r>
        <w:rPr/>
        <w:t xml:space="preserve"> </w:t>
      </w:r>
      <w:r>
        <w:rPr/>
        <w:t>Для проведения оценки мы провели несколько симуляций для этого мы использовали следуюшую схему.</w:t>
      </w:r>
    </w:p>
    <w:p>
      <w:pPr>
        <w:pStyle w:val="Normal"/>
        <w:rPr/>
      </w:pPr>
      <w:r>
        <w:rPr/>
        <w:t>7 slide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 slide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 slide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10 slide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 slide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 slide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13 slide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14 slide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15 slide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16 slide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17 slide</w:t>
      </w:r>
    </w:p>
    <w:p>
      <w:pPr>
        <w:pStyle w:val="Normal"/>
        <w:rPr/>
      </w:pPr>
      <w:r>
        <w:rPr/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AR PL SungtiL GB" w:cs="Lohit Devanagari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LibreOffice/5.2.7.2$Linux_X86_64 LibreOffice_project/20m0$Build-2</Application>
  <Pages>2</Pages>
  <Words>282</Words>
  <Characters>1770</Characters>
  <CharactersWithSpaces>2034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2018-10-08T17:54:34Z</dcterms:created>
  <dc:creator/>
  <dc:description/>
  <dc:language>ru-RU</dc:language>
  <cp:lastModifiedBy/>
  <dcterms:modified xsi:type="dcterms:W3CDTF">2018-10-09T12:31:56Z</dcterms:modified>
  <cp:revision>2</cp:revision>
  <dc:subject/>
  <dc:title/>
</cp:coreProperties>
</file>