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4"/>
        <w:spacing w:before="600" w:after="0"/>
        <w:rPr/>
      </w:pPr>
      <w:bookmarkStart w:id="0" w:name="_GoBack"/>
      <w:bookmarkEnd w:id="0"/>
      <w:r>
        <w:rPr>
          <w:sz w:val="22"/>
          <w:szCs w:val="22"/>
        </w:rPr>
        <w:t>УДК 539.122.04</w:t>
      </w:r>
    </w:p>
    <w:p>
      <w:pPr>
        <w:pStyle w:val="10"/>
        <w:rPr/>
      </w:pP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труктуры электрических полей в грозовых облаках </w:t>
      </w:r>
      <w:r>
        <w:rPr>
          <w:sz w:val="24"/>
          <w:szCs w:val="24"/>
        </w:rPr>
        <w:t>поддерживающие длительные TGE</w:t>
      </w:r>
    </w:p>
    <w:p>
      <w:pPr>
        <w:pStyle w:val="11"/>
        <w:rPr/>
      </w:pPr>
      <w:r>
        <w:rPr>
          <w:i w:val="false"/>
          <w:sz w:val="22"/>
          <w:szCs w:val="22"/>
        </w:rPr>
        <w:t>М</w:t>
      </w:r>
      <w:bookmarkStart w:id="1" w:name="_Toc435091269"/>
      <w:r>
        <w:rPr>
          <w:i w:val="false"/>
          <w:sz w:val="22"/>
          <w:szCs w:val="22"/>
        </w:rPr>
        <w:t xml:space="preserve">. </w:t>
      </w:r>
      <w:r>
        <w:rPr>
          <w:sz w:val="22"/>
          <w:szCs w:val="22"/>
        </w:rPr>
        <w:t>Е</w:t>
      </w:r>
      <w:r>
        <w:rPr>
          <w:i w:val="false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Зелёный</w:t>
      </w:r>
      <w:r>
        <w:rPr>
          <w:b w:val="false"/>
          <w:i w:val="false"/>
          <w:sz w:val="22"/>
          <w:szCs w:val="22"/>
          <w:vertAlign w:val="superscript"/>
        </w:rPr>
        <w:t>1,2</w:t>
      </w:r>
      <w:bookmarkEnd w:id="1"/>
      <w:r>
        <w:rPr>
          <w:b w:val="false"/>
          <w:i w:val="false"/>
          <w:sz w:val="22"/>
          <w:szCs w:val="22"/>
          <w:vertAlign w:val="superscript"/>
        </w:rPr>
        <w:t>,</w:t>
      </w:r>
      <w:r>
        <w:rPr>
          <w:b w:val="false"/>
          <w:i w:val="false"/>
          <w:sz w:val="22"/>
          <w:szCs w:val="22"/>
          <w:vertAlign w:val="superscript"/>
        </w:rPr>
        <w:t>3</w:t>
      </w:r>
    </w:p>
    <w:p>
      <w:pPr>
        <w:pStyle w:val="12"/>
        <w:spacing w:before="0" w:after="0"/>
        <w:rPr/>
      </w:pP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Московский физико-технический институт (государственный университет)</w:t>
      </w:r>
    </w:p>
    <w:p>
      <w:pPr>
        <w:pStyle w:val="12"/>
        <w:spacing w:before="0" w:after="0"/>
        <w:rPr/>
      </w:pPr>
      <w:r>
        <w:rPr>
          <w:sz w:val="22"/>
          <w:szCs w:val="22"/>
          <w:vertAlign w:val="superscript"/>
        </w:rPr>
        <w:t>2</w:t>
      </w:r>
      <w:r>
        <w:rPr>
          <w:position w:val="0"/>
          <w:sz w:val="22"/>
          <w:sz w:val="22"/>
          <w:szCs w:val="22"/>
          <w:vertAlign w:val="baseline"/>
        </w:rPr>
        <w:t>Институт ядерных исследований</w:t>
      </w:r>
      <w:r>
        <w:rPr>
          <w:sz w:val="22"/>
          <w:szCs w:val="22"/>
        </w:rPr>
        <w:t xml:space="preserve"> РАН</w:t>
        <w:br/>
      </w:r>
      <w:r>
        <w:rPr>
          <w:sz w:val="22"/>
          <w:szCs w:val="22"/>
          <w:vertAlign w:val="superscript"/>
        </w:rPr>
        <w:t>3</w:t>
      </w:r>
      <w:r>
        <w:rPr>
          <w:position w:val="0"/>
          <w:sz w:val="22"/>
          <w:sz w:val="22"/>
          <w:szCs w:val="22"/>
          <w:vertAlign w:val="baseline"/>
        </w:rPr>
        <w:t>Институт космических исследований  РАН</w:t>
      </w:r>
    </w:p>
    <w:p>
      <w:pPr>
        <w:pStyle w:val="12"/>
        <w:spacing w:before="0" w:after="0"/>
        <w:rPr>
          <w:position w:val="0"/>
          <w:sz w:val="20"/>
          <w:sz w:val="22"/>
          <w:szCs w:val="22"/>
          <w:vertAlign w:val="baseline"/>
        </w:rPr>
      </w:pPr>
      <w:r>
        <w:rPr/>
      </w:r>
    </w:p>
    <w:p>
      <w:pPr>
        <w:pStyle w:val="Normal"/>
        <w:ind w:firstLine="720"/>
        <w:jc w:val="both"/>
        <w:rPr/>
      </w:pPr>
      <w:r>
        <w:rPr>
          <w:sz w:val="22"/>
          <w:szCs w:val="22"/>
        </w:rPr>
        <w:t xml:space="preserve">В современных исследования посвященных проблема грозовых разрядов большее внимание уделяется наблюдениям за потоком гамма-квантов и релятивистских электронов, возрастающих в периоды предшествующие грозовому разряду. Измерение потока и энергетического спектра этих частиц, дает возможность проверять корректность моделей описывающих образование молнии или модель описывающих структуру электрических полей, которые труднодоступны для непосредственного наблюдения и не могут быть воспроизведены в лабораторных условиях. В данной работе мы рассмотрим результаты наблюдения за потоками частиц от облаков произведенными на научной станции на горе Арагац в Армении </w:t>
      </w:r>
      <w:r>
        <w:rPr>
          <w:sz w:val="22"/>
          <w:szCs w:val="22"/>
        </w:rPr>
        <w:t>и рассмотрим как они согласуются с трипольной структурой электрического заряда в грозовом облаке. Также будут рассмотрены результаты моделирования, произведенного с помощью транспортных кодов GEANT4 и CORSIKA.</w:t>
      </w:r>
    </w:p>
    <w:p>
      <w:pPr>
        <w:pStyle w:val="15"/>
        <w:spacing w:before="180" w:after="0"/>
        <w:rPr>
          <w:sz w:val="20"/>
          <w:szCs w:val="20"/>
        </w:rPr>
      </w:pPr>
      <w:r>
        <w:rPr/>
      </w:r>
    </w:p>
    <w:p>
      <w:pPr>
        <w:pStyle w:val="13"/>
        <w:rPr>
          <w:sz w:val="22"/>
          <w:szCs w:val="22"/>
        </w:rPr>
      </w:pPr>
      <w:r>
        <w:rPr>
          <w:sz w:val="22"/>
          <w:szCs w:val="22"/>
        </w:rPr>
        <w:t>Литература</w:t>
      </w:r>
    </w:p>
    <w:p>
      <w:pPr>
        <w:pStyle w:val="ListParagraph"/>
        <w:numPr>
          <w:ilvl w:val="0"/>
          <w:numId w:val="1"/>
        </w:numPr>
        <w:spacing w:before="0" w:after="120"/>
        <w:ind w:left="284" w:hanging="284"/>
        <w:jc w:val="both"/>
        <w:rPr/>
      </w:pPr>
      <w:r>
        <w:rPr>
          <w:rFonts w:cs="Times New Roman" w:ascii="Times New Roman" w:hAnsi="Times New Roman"/>
          <w:i/>
          <w:sz w:val="20"/>
          <w:szCs w:val="20"/>
          <w:lang w:val="en-US" w:eastAsia="ru-RU"/>
        </w:rPr>
        <w:t>A. Chilingarian, G. Hovsepyan, S. Soghomonyan, M. Zazyan, and M. Zelenyy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 xml:space="preserve">. 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>Structures of the intracloud electric field supporting origin of long-lasting thunderstorm ground enhancements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cs="Times New Roman" w:ascii="Times New Roman" w:hAnsi="Times New Roman"/>
          <w:color w:val="333333"/>
          <w:sz w:val="20"/>
          <w:szCs w:val="20"/>
          <w:shd w:fill="FFFFFF" w:val="clear"/>
          <w:lang w:val="en-US"/>
        </w:rPr>
        <w:t>//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>Phys. Rev. D 98, 082001 – Published 3 October 2018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247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2"/>
        <w:rFonts w:ascii="Times New Roman" w:hAnsi="Times New Roman" w:cs="Times New Roman"/>
        <w:lang w:val="ru-RU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mirrorMargi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0b4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3">
    <w:name w:val="Heading 3"/>
    <w:basedOn w:val="Style13"/>
    <w:qFormat/>
    <w:pPr/>
    <w:rPr/>
  </w:style>
  <w:style w:type="paragraph" w:styleId="5">
    <w:name w:val="Heading 5"/>
    <w:basedOn w:val="Style13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сноски Знак"/>
    <w:basedOn w:val="DefaultParagraphFont"/>
    <w:link w:val="a4"/>
    <w:uiPriority w:val="99"/>
    <w:semiHidden/>
    <w:qFormat/>
    <w:rsid w:val="00600b4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rFonts w:ascii="Times New Roman" w:hAnsi="Times New Roman" w:cs="Times New Roman"/>
      <w:sz w:val="20"/>
      <w:szCs w:val="22"/>
      <w:lang w:val="ru-RU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0b4b"/>
    <w:pPr>
      <w:widowControl w:val="false"/>
      <w:suppressAutoHyphens w:val="true"/>
      <w:spacing w:before="0" w:after="0"/>
      <w:ind w:left="720" w:hanging="0"/>
      <w:contextualSpacing/>
    </w:pPr>
    <w:rPr>
      <w:rFonts w:ascii="Calibri" w:hAnsi="Calibri" w:cs="Calibri"/>
      <w:lang w:eastAsia="zh-CN"/>
    </w:rPr>
  </w:style>
  <w:style w:type="paragraph" w:styleId="10" w:customStyle="1">
    <w:name w:val="Стиль10"/>
    <w:basedOn w:val="Normal"/>
    <w:qFormat/>
    <w:rsid w:val="00600b4b"/>
    <w:pPr>
      <w:keepNext/>
      <w:suppressAutoHyphens w:val="true"/>
      <w:spacing w:before="120" w:after="120"/>
      <w:jc w:val="center"/>
      <w:outlineLvl w:val="1"/>
    </w:pPr>
    <w:rPr>
      <w:rFonts w:eastAsia="Calibri"/>
      <w:b/>
      <w:sz w:val="28"/>
      <w:szCs w:val="28"/>
    </w:rPr>
  </w:style>
  <w:style w:type="paragraph" w:styleId="11" w:customStyle="1">
    <w:name w:val="Стиль11"/>
    <w:basedOn w:val="Normal"/>
    <w:qFormat/>
    <w:rsid w:val="00600b4b"/>
    <w:pPr>
      <w:keepNext/>
      <w:suppressAutoHyphens w:val="true"/>
      <w:spacing w:before="120" w:after="0"/>
      <w:jc w:val="center"/>
      <w:outlineLvl w:val="0"/>
    </w:pPr>
    <w:rPr>
      <w:rFonts w:eastAsia="Calibri"/>
      <w:b/>
      <w:i/>
      <w:iCs/>
    </w:rPr>
  </w:style>
  <w:style w:type="paragraph" w:styleId="12" w:customStyle="1">
    <w:name w:val="Стиль12"/>
    <w:basedOn w:val="Normal"/>
    <w:qFormat/>
    <w:rsid w:val="00600b4b"/>
    <w:pPr>
      <w:keepNext/>
      <w:keepLines/>
      <w:suppressAutoHyphens w:val="true"/>
      <w:spacing w:before="120" w:after="120"/>
      <w:jc w:val="center"/>
    </w:pPr>
    <w:rPr>
      <w:rFonts w:eastAsia="Calibri"/>
      <w:sz w:val="20"/>
      <w:szCs w:val="20"/>
    </w:rPr>
  </w:style>
  <w:style w:type="paragraph" w:styleId="13" w:customStyle="1">
    <w:name w:val="Стиль13"/>
    <w:basedOn w:val="Normal"/>
    <w:qFormat/>
    <w:rsid w:val="00600b4b"/>
    <w:pPr>
      <w:keepNext/>
      <w:spacing w:before="240" w:after="120"/>
      <w:jc w:val="center"/>
    </w:pPr>
    <w:rPr>
      <w:rFonts w:eastAsia="Calibri"/>
      <w:b/>
    </w:rPr>
  </w:style>
  <w:style w:type="paragraph" w:styleId="14" w:customStyle="1">
    <w:name w:val="Стиль14"/>
    <w:basedOn w:val="Normal"/>
    <w:qFormat/>
    <w:rsid w:val="00600b4b"/>
    <w:pPr>
      <w:keepNext/>
      <w:spacing w:before="600" w:after="0"/>
      <w:ind w:firstLine="709"/>
      <w:jc w:val="both"/>
    </w:pPr>
    <w:rPr>
      <w:rFonts w:eastAsia="Calibri"/>
    </w:rPr>
  </w:style>
  <w:style w:type="paragraph" w:styleId="15" w:customStyle="1">
    <w:name w:val="Стиль15"/>
    <w:basedOn w:val="Normal"/>
    <w:qFormat/>
    <w:rsid w:val="00600b4b"/>
    <w:pPr>
      <w:keepNext/>
      <w:spacing w:before="360" w:after="0"/>
      <w:jc w:val="center"/>
    </w:pPr>
    <w:rPr>
      <w:lang w:val="en-US"/>
    </w:rPr>
  </w:style>
  <w:style w:type="paragraph" w:styleId="16" w:customStyle="1">
    <w:name w:val="Стиль16"/>
    <w:basedOn w:val="Normal"/>
    <w:qFormat/>
    <w:rsid w:val="00600b4b"/>
    <w:pPr>
      <w:keepLines/>
      <w:suppressAutoHyphens w:val="true"/>
      <w:spacing w:before="120" w:after="240"/>
      <w:jc w:val="center"/>
    </w:pPr>
    <w:rPr>
      <w:sz w:val="22"/>
      <w:szCs w:val="22"/>
    </w:rPr>
  </w:style>
  <w:style w:type="paragraph" w:styleId="21" w:customStyle="1">
    <w:name w:val="Стиль21"/>
    <w:basedOn w:val="Footnotetext"/>
    <w:qFormat/>
    <w:rsid w:val="00600b4b"/>
    <w:pPr>
      <w:tabs>
        <w:tab w:val="center" w:pos="4253" w:leader="none"/>
        <w:tab w:val="right" w:pos="9214" w:leader="none"/>
      </w:tabs>
      <w:spacing w:before="60" w:after="60"/>
    </w:pPr>
    <w:rPr>
      <w:sz w:val="24"/>
      <w:szCs w:val="24"/>
      <w:lang w:eastAsia="en-US"/>
    </w:rPr>
  </w:style>
  <w:style w:type="paragraph" w:styleId="Footnotetext">
    <w:name w:val="footnote text"/>
    <w:basedOn w:val="Normal"/>
    <w:link w:val="a5"/>
    <w:uiPriority w:val="99"/>
    <w:semiHidden/>
    <w:unhideWhenUsed/>
    <w:qFormat/>
    <w:rsid w:val="00600b4b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LibreOffice/5.2.7.2$Linux_X86_64 LibreOffice_project/20m0$Build-2</Application>
  <Pages>1</Pages>
  <Words>167</Words>
  <Characters>1210</Characters>
  <CharactersWithSpaces>1370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2017-09-16T15:28:00Z</dcterms:created>
  <dc:creator>User</dc:creator>
  <dc:description/>
  <dc:language>ru-RU</dc:language>
  <cp:lastModifiedBy/>
  <dcterms:modified xsi:type="dcterms:W3CDTF">2018-10-09T17:37:10Z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