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Анонимная функция</w:t>
      </w:r>
      <w:r>
        <w:t xml:space="preserve"> </w:t>
      </w:r>
      <w:r>
        <w:t xml:space="preserve">- особый вид функций, которые объявляются в месте использования и не получают уникального идентификатора для доступа к ним. Обычно при создании анонимные функции либо вызываются напрямую, либо ссылка на функцию присваивается переменной, с помощью которой затем можно косвенно вызывать данную функцию.</w:t>
      </w:r>
    </w:p>
    <w:p>
      <w:pPr>
        <w:pStyle w:val="BodyText"/>
      </w:pPr>
      <w:r>
        <w:t xml:space="preserve">В Octave aнонимные функции определяются с помощью синтаксиса @(argument-list) expression. Любые переменные, которые не найдены в списке аргументов, наследованы от объема включения. Анонимные функции полезны для создания простых функций без имени от выражений или для обертывания вызовов к другим функциям для адаптации их к использованию функциями как quad, которая применяется при вычислении интегралов.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предел: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)</m:t>
              </m:r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Оценим данное выражение. Для этого определим функцию с помощью метода анонимной функции. Создадим также индексную переменную, состоящую из целых чисел от 0 до 9. Возьмем степени 10, которые будут входными значениями, а затем оценим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276850" cy="6086475"/>
            <wp:effectExtent b="0" l="0" r="0" t="0"/>
            <wp:docPr descr="Рис. 1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Оценка выражения под знаком предела</w:t>
      </w:r>
    </w:p>
    <w:p>
      <w:pPr>
        <w:pStyle w:val="CaptionedFigure"/>
      </w:pPr>
      <w:bookmarkStart w:id="25" w:name="fig:002"/>
      <w:r>
        <w:drawing>
          <wp:inline>
            <wp:extent cx="5229225" cy="3162300"/>
            <wp:effectExtent b="0" l="0" r="0" t="0"/>
            <wp:docPr descr="Рис. 2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Оценка выражения под знаком предела</w:t>
      </w:r>
    </w:p>
    <w:p>
      <w:pPr>
        <w:pStyle w:val="BodyText"/>
      </w:pPr>
      <w:r>
        <w:t xml:space="preserve">Полученный результат близок к теоретическому значению предела -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​</m:t>
            </m:r>
          </m:e>
        </m:nary>
      </m:oMath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ряд, n-й член равен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)</m:t>
            </m:r>
          </m:den>
        </m:f>
      </m:oMath>
      <w:r>
        <w:t xml:space="preserve">. Определим индексный вектор n от 2 до 11 и вычислим члены. Для получения последовательности частичных сумм используем цикл и функцию sum(a). На выходе получаем 10-элементный вектор частичных сумм. Строим слагаемые и частичные суммы для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r>
          <m:t>11</m:t>
        </m:r>
      </m:oMath>
      <w:r>
        <w:t xml:space="preserve"> </w:t>
      </w:r>
      <w:r>
        <w:t xml:space="preserve">на графике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077129"/>
            <wp:effectExtent b="0" l="0" r="0" t="0"/>
            <wp:docPr descr="Рис. 3: Частичные суммы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Частичные суммы</w:t>
      </w:r>
    </w:p>
    <w:p>
      <w:pPr>
        <w:pStyle w:val="BodyText"/>
      </w:pPr>
      <w:r>
        <w:t xml:space="preserve">Найдем сумму первых 1000 членов гармонического ряда (рис. fig. 4):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29" w:name="fig:004"/>
      <w:r>
        <w:drawing>
          <wp:inline>
            <wp:extent cx="1876425" cy="895350"/>
            <wp:effectExtent b="0" l="0" r="0" t="0"/>
            <wp:docPr descr="Рис. 4: Сумма ряда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Сумма ряда</w:t>
      </w:r>
    </w:p>
    <w:p>
      <w:pPr>
        <w:pStyle w:val="BodyText"/>
      </w:pPr>
      <w:r>
        <w:t xml:space="preserve">Вычислим интеграл (рис. fig. 5):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31" w:name="fig:005"/>
      <w:r>
        <w:drawing>
          <wp:inline>
            <wp:extent cx="5334000" cy="2410800"/>
            <wp:effectExtent b="0" l="0" r="0" t="0"/>
            <wp:docPr descr="Рис. 5: Вычисление интеграла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Вычисление интеграла</w:t>
      </w:r>
    </w:p>
    <w:p>
      <w:pPr>
        <w:pStyle w:val="BodyText"/>
      </w:pPr>
      <w:r>
        <w:t xml:space="preserve">Пишем код, чтобы вычислить указанный ранее интеграл по правилу средней точки для n=100: используем цикл, который добавляет значение функции к промежуточной сумме с каждой итерацией, а в конце сумму умножаем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6) и (рис. fig. 7).</w:t>
      </w:r>
    </w:p>
    <w:p>
      <w:pPr>
        <w:pStyle w:val="CaptionedFigure"/>
      </w:pPr>
      <w:bookmarkStart w:id="33" w:name="fig:006"/>
      <w:r>
        <w:drawing>
          <wp:inline>
            <wp:extent cx="5334000" cy="2819275"/>
            <wp:effectExtent b="0" l="0" r="0" t="0"/>
            <wp:docPr descr="Рис. 6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Аппроксимирование суммами</w:t>
      </w:r>
    </w:p>
    <w:p>
      <w:pPr>
        <w:pStyle w:val="CaptionedFigure"/>
      </w:pPr>
      <w:bookmarkStart w:id="35" w:name="fig:007"/>
      <w:r>
        <w:drawing>
          <wp:inline>
            <wp:extent cx="4152900" cy="1304925"/>
            <wp:effectExtent b="0" l="0" r="0" t="0"/>
            <wp:docPr descr="Рис. 7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Аппроксимирование суммами</w:t>
      </w:r>
    </w:p>
    <w:p>
      <w:pPr>
        <w:pStyle w:val="BodyText"/>
      </w:pPr>
      <w:r>
        <w:t xml:space="preserve">Напишем векторизованный код. Создадим вектор x-координат средних точек, далее оцениваем f по этому вектору средней точки, чтобы получить вектор значений функции. Аппроксимация средней точки - это сумма компонент вектора, умноженная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1924392"/>
            <wp:effectExtent b="0" l="0" r="0" t="0"/>
            <wp:docPr descr="Рис. 8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Аппроксимирование суммами - векторизованный код</w:t>
      </w:r>
    </w:p>
    <w:p>
      <w:pPr>
        <w:pStyle w:val="CaptionedFigure"/>
      </w:pPr>
      <w:bookmarkStart w:id="39" w:name="fig:009"/>
      <w:r>
        <w:drawing>
          <wp:inline>
            <wp:extent cx="4219575" cy="1257300"/>
            <wp:effectExtent b="0" l="0" r="0" t="0"/>
            <wp:docPr descr="Рис. 9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Аппроксимирование суммами - векторизованный код</w:t>
      </w:r>
    </w:p>
    <w:p>
      <w:pPr>
        <w:pStyle w:val="BodyText"/>
      </w:pPr>
      <w:r>
        <w:t xml:space="preserve">Полученные результаты совпадают с предыдущими. Сравним время выполнения для каждой реализации. Получили, что векторизованный код более эффективен по времени, чем традиционный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2253358"/>
            <wp:effectExtent b="0" l="0" r="0" t="0"/>
            <wp:docPr descr="Рис. 10: Сравнение кодов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Сравнение кодов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Викторов Егор</dc:creator>
  <dc:language>ru-RU</dc:language>
  <cp:keywords/>
  <dcterms:created xsi:type="dcterms:W3CDTF">2024-10-22T11:29:17Z</dcterms:created>
  <dcterms:modified xsi:type="dcterms:W3CDTF">2024-10-22T11:29:17Z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