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11</w:t>
      </w:r>
    </w:p>
    <w:p>
      <w:pPr>
        <w:jc w:val="center"/>
      </w:pPr>
      <w:r>
        <w:rPr>
          <w:b/>
        </w:rPr>
        <w:t>Создание домена данных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домена данных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По варианту, определенному преподавателем, разработать домен данных для разрабатываемого проекта.</w:t>
      </w:r>
    </w:p>
    <w:p>
      <w:r>
        <w:t>3. Продемонстрировать результаты работы предателю.</w:t>
      </w:r>
    </w:p>
    <w:p>
      <w:r>
        <w:t>4.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 пакет domain с сущностями City и Park. Поля соответствуют варианту 12. Добавлены технические идентификаторы, внешний ключ idPark и навигационное свойство park по образцу связи сущностей в методичке. Определены конструкторы, геттеры, сеттеры и toString.</w:t>
      </w:r>
    </w:p>
    <w:p>
      <w:r>
        <w:t>Код этапа сохранен в локальной ветке dev3;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City java поля модели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private Long id;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String name;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String status;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Integer population;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Long idPark;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Park park;</w:t>
      </w:r>
    </w:p>
    <w:p>
      <w:pPr>
        <w:pStyle w:val="Heading2"/>
      </w:pPr>
      <w:r>
        <w:t>City java метод City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City(String name, String status, Integer population, Park park)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this.name = name;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this.status = status;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this.population = population;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this.park = park;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this.idPark = park == null ? null : park.getId();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City java метод toString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@Override public String toString()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return "City {id=" + id + ", name=" + name + ", status=" + status + ", population=" + population + ", idPark=" + idPark + ", park=" + park + "}";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Park java поля модели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private Long id;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String name;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String type;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BigDecimal area;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boolean hasWater;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private LocalDate buildDate;</w:t>
      </w:r>
    </w:p>
    <w:p>
      <w:pPr>
        <w:pStyle w:val="Heading2"/>
      </w:pPr>
      <w:r>
        <w:t>Park java метод Park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Park(String name, String type, BigDecimal area, boolean hasWater, LocalDate buildDate)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this.name = name;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this.type = type;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this.area = area;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this.hasWater = hasWater;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this.buildDate = buildDate;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Servlet city returns 200; Template servlet responds; Servlet park returns 200.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r>
        <w:t>Адрес приложения: http://localhost:8080/lab1-11/. Перед запуском следующей веб-работы остановить текущий сервер через Ctrl+C.</w:t>
      </w:r>
    </w:p>
    <w:p>
      <w:r>
        <w:t>Для демонстрации конструкторов, полей, связи сущностей и методов toString выполнить .\show_domain.ps1.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https://do.rsue.ru/mod/assign/view.php?id=129774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