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6FAE"/>
          <w:sz w:val="19"/>
          <w:szCs w:val="19"/>
        </w:rPr>
        <w:t xml:space="preserve">COP-PILOT Open Call #1  |  Cluster 3A — AgriTech Transformation &amp; Sustainability</w:t>
      </w:r>
    </w:p>
    <w:p>
      <w:pPr>
        <w:pBdr>
          <w:bottom w:val="single" w:color="1F6FAE" w:sz="8" w:space="3"/>
        </w:pBdr>
        <w:spacing w:after="120" w:before="0"/>
        <w:jc w:val="center"/>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Project Title</w:t>
            </w:r>
          </w:p>
        </w:tc>
        <w:tc>
          <w:tcPr>
            <w:tcW w:type="dxa" w:w="6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AgroChain Ukraine — IoT-Blockchain Traceability Platform for Ukrainian SME Agri-Exporters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Acronym</w:t>
            </w:r>
          </w:p>
        </w:tc>
        <w:tc>
          <w:tcPr>
            <w:tcW w:type="dxa" w:w="6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AGROCHAIN-UA</w:t>
            </w:r>
          </w:p>
        </w:tc>
      </w:tr>
      <w:tr>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Cluster</w:t>
            </w:r>
          </w:p>
        </w:tc>
        <w:tc>
          <w:tcPr>
            <w:tcW w:type="dxa" w:w="6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Cluster 3A: AgriTech Transformation and Sustainability Initiative (ATSI)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Applicant</w:t>
            </w:r>
          </w:p>
        </w:tc>
        <w:tc>
          <w:tcPr>
            <w:tcW w:type="dxa" w:w="6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AgroChain Ukraine (SME — Ukraine, Horizon Europe Associated Country)</w:t>
            </w:r>
          </w:p>
        </w:tc>
      </w:tr>
      <w:tr>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Duration</w:t>
            </w:r>
          </w:p>
        </w:tc>
        <w:tc>
          <w:tcPr>
            <w:tcW w:type="dxa" w:w="6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8 months execution (M1–M8) + M9 reporting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Requested Funding</w:t>
            </w:r>
          </w:p>
        </w:tc>
        <w:tc>
          <w:tcPr>
            <w:tcW w:type="dxa" w:w="6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€189,500  (of max €200,000)</w:t>
            </w:r>
          </w:p>
        </w:tc>
      </w:tr>
      <w:tr>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TRL Entry → Exit</w:t>
            </w:r>
          </w:p>
        </w:tc>
        <w:tc>
          <w:tcPr>
            <w:tcW w:type="dxa" w:w="6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TRL 4 → TRL 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Contact</w:t>
            </w:r>
          </w:p>
        </w:tc>
        <w:tc>
          <w:tcPr>
            <w:tcW w:type="dxa" w:w="6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[your.email@domain.com]  |  +38 0XX XXX XXXX</w:t>
            </w:r>
          </w:p>
        </w:tc>
      </w:tr>
    </w:tbl>
    <w:p>
      <w:pPr>
        <w:spacing w:after="0" w:before="0"/>
      </w:pPr>
      <w:r>
        <w:t xml:space="preserve"/>
      </w:r>
    </w:p>
    <w:p>
      <w:pPr>
        <w:pStyle w:val="Heading1"/>
        <w:pBdr>
          <w:bottom w:val="single" w:color="1F6FAE" w:sz="6" w:space="3"/>
        </w:pBdr>
        <w:spacing w:after="100" w:before="200"/>
      </w:pPr>
      <w:r>
        <w:rPr>
          <w:rFonts w:ascii="Arial" w:cs="Arial" w:eastAsia="Arial" w:hAnsi="Arial"/>
          <w:b/>
          <w:bCs/>
          <w:color w:val="1F3864"/>
          <w:sz w:val="26"/>
          <w:szCs w:val="26"/>
        </w:rPr>
        <w:t xml:space="preserve">PROJECT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4F4" w:val="clear"/>
            <w:tcMar>
              <w:top w:type="dxa" w:w="100"/>
              <w:left w:type="dxa" w:w="160"/>
              <w:bottom w:type="dxa" w:w="100"/>
              <w:right w:type="dxa" w:w="160"/>
            </w:tcMar>
          </w:tcPr>
          <w:p>
            <w:pPr>
              <w:spacing w:after="30" w:before="30"/>
            </w:pPr>
            <w:r>
              <w:rPr>
                <w:rFonts w:ascii="Arial" w:cs="Arial" w:eastAsia="Arial" w:hAnsi="Arial"/>
                <w:b/>
                <w:bCs/>
                <w:color w:val="1F3864"/>
                <w:sz w:val="19"/>
                <w:szCs w:val="19"/>
              </w:rPr>
              <w:t xml:space="preserve">Problem: </w:t>
            </w:r>
          </w:p>
          <w:p>
            <w:pPr>
              <w:spacing w:after="30" w:before="30"/>
            </w:pPr>
            <w:r>
              <w:rPr>
                <w:rFonts w:ascii="Arial" w:cs="Arial" w:eastAsia="Arial" w:hAnsi="Arial"/>
                <w:b w:val="false"/>
                <w:bCs w:val="false"/>
                <w:color w:val="1C2833"/>
                <w:sz w:val="19"/>
                <w:szCs w:val="19"/>
              </w:rPr>
              <w:t xml:space="preserve">Small and medium Ukrainian farmers (SMEs) — producing 60%+ of Ukraine's grain — cannot access premium European markets because they lack digital infrastructure to verify provenance, generate Farm-to-Fork compliant documentation, and manage cross-border payments. Certificate fraud is endemic. Payment delays of 30–90 days destroy SME cash flow. Up to 20 paper documents per export shipment are beyond the administrative capacity of individual farms.</w:t>
            </w:r>
          </w:p>
          <w:p>
            <w:pPr>
              <w:spacing w:after="30" w:before="30"/>
            </w:pPr>
            <w:r>
              <w:rPr>
                <w:rFonts w:ascii="Arial" w:cs="Arial" w:eastAsia="Arial" w:hAnsi="Arial"/>
                <w:b w:val="false"/>
                <w:bCs w:val="false"/>
                <w:color w:val="1C2833"/>
                <w:sz w:val="19"/>
                <w:szCs w:val="19"/>
              </w:rPr>
              <w:t xml:space="preserve"/>
            </w:r>
          </w:p>
          <w:p>
            <w:pPr>
              <w:spacing w:after="30" w:before="30"/>
            </w:pPr>
            <w:r>
              <w:rPr>
                <w:rFonts w:ascii="Arial" w:cs="Arial" w:eastAsia="Arial" w:hAnsi="Arial"/>
                <w:b/>
                <w:bCs/>
                <w:color w:val="1F3864"/>
                <w:sz w:val="19"/>
                <w:szCs w:val="19"/>
              </w:rPr>
              <w:t xml:space="preserve">Solution: </w:t>
            </w:r>
          </w:p>
          <w:p>
            <w:pPr>
              <w:spacing w:after="30" w:before="30"/>
            </w:pPr>
            <w:r>
              <w:rPr>
                <w:rFonts w:ascii="Arial" w:cs="Arial" w:eastAsia="Arial" w:hAnsi="Arial"/>
                <w:b w:val="false"/>
                <w:bCs w:val="false"/>
                <w:color w:val="1C2833"/>
                <w:sz w:val="19"/>
                <w:szCs w:val="19"/>
              </w:rPr>
              <w:t xml:space="preserve">AgroChain Ukraine is an IoT-blockchain traceability and market access platform built on Solana. It creates an immutable GrainLot digital passport from GPS field origin through phytosanitary certification to customs clearance, and automates cross-border payments via smart contract escrow. IoT sensors at silos and GPS-tracked trucks feed NGSI-LD data streams into COP-PILOT edge nodes, anchored on-chain.</w:t>
            </w:r>
          </w:p>
          <w:p>
            <w:pPr>
              <w:spacing w:after="30" w:before="30"/>
            </w:pPr>
            <w:r>
              <w:rPr>
                <w:rFonts w:ascii="Arial" w:cs="Arial" w:eastAsia="Arial" w:hAnsi="Arial"/>
                <w:b w:val="false"/>
                <w:bCs w:val="false"/>
                <w:color w:val="1C2833"/>
                <w:sz w:val="19"/>
                <w:szCs w:val="19"/>
              </w:rPr>
              <w:t xml:space="preserve"/>
            </w:r>
          </w:p>
          <w:p>
            <w:pPr>
              <w:spacing w:after="30" w:before="30"/>
            </w:pPr>
            <w:r>
              <w:rPr>
                <w:rFonts w:ascii="Arial" w:cs="Arial" w:eastAsia="Arial" w:hAnsi="Arial"/>
                <w:b/>
                <w:bCs/>
                <w:color w:val="1F3864"/>
                <w:sz w:val="19"/>
                <w:szCs w:val="19"/>
              </w:rPr>
              <w:t xml:space="preserve">COP-PILOT fit: </w:t>
            </w:r>
          </w:p>
          <w:p>
            <w:pPr>
              <w:spacing w:after="30" w:before="30"/>
            </w:pPr>
            <w:r>
              <w:rPr>
                <w:rFonts w:ascii="Arial" w:cs="Arial" w:eastAsia="Arial" w:hAnsi="Arial"/>
                <w:b w:val="false"/>
                <w:bCs w:val="false"/>
                <w:color w:val="1C2833"/>
                <w:sz w:val="19"/>
                <w:szCs w:val="19"/>
              </w:rPr>
              <w:t xml:space="preserve">Deploys as Workflow 1 service on Cluster 3A (ATSI). Leverages FIWARE Orion-LD (DM), TMF APIs (ESO/DO), Secure Integration Fabric (cross-border zero-trust tunnels), and COP-PILOT Business Portal (LLM buyer queries). Adds new DIS-L connectors for Ukrainian state registries (SSUFSCP eFood, Customs ASMO, Diia ID).</w:t>
            </w:r>
          </w:p>
          <w:p>
            <w:pPr>
              <w:spacing w:after="30" w:before="30"/>
            </w:pPr>
            <w:r>
              <w:rPr>
                <w:rFonts w:ascii="Arial" w:cs="Arial" w:eastAsia="Arial" w:hAnsi="Arial"/>
                <w:b w:val="false"/>
                <w:bCs w:val="false"/>
                <w:color w:val="1C2833"/>
                <w:sz w:val="19"/>
                <w:szCs w:val="19"/>
              </w:rPr>
              <w:t xml:space="preserve"/>
            </w:r>
          </w:p>
          <w:p>
            <w:pPr>
              <w:spacing w:after="30" w:before="30"/>
            </w:pPr>
            <w:r>
              <w:rPr>
                <w:rFonts w:ascii="Arial" w:cs="Arial" w:eastAsia="Arial" w:hAnsi="Arial"/>
                <w:b/>
                <w:bCs/>
                <w:color w:val="1F3864"/>
                <w:sz w:val="19"/>
                <w:szCs w:val="19"/>
              </w:rPr>
              <w:t xml:space="preserve">Innovation: </w:t>
            </w:r>
          </w:p>
          <w:p>
            <w:pPr>
              <w:spacing w:after="30" w:before="30"/>
            </w:pPr>
            <w:r>
              <w:rPr>
                <w:rFonts w:ascii="Arial" w:cs="Arial" w:eastAsia="Arial" w:hAnsi="Arial"/>
                <w:b w:val="false"/>
                <w:bCs w:val="false"/>
                <w:color w:val="1C2833"/>
                <w:sz w:val="19"/>
                <w:szCs w:val="19"/>
              </w:rPr>
              <w:t xml:space="preserve">(1) First blockchain-IoT grain passport compliant with EU Reg 2017/625; (2) Smart contract escrow eliminating payment risk; (3) Ukrainian state registries as verified NGSI-LD data sources — reusable for future Eastern European partners. (4) TRL 4 → TRL 7 in 8 months.</w:t>
            </w:r>
          </w:p>
          <w:p>
            <w:pPr>
              <w:spacing w:after="30" w:before="30"/>
            </w:pPr>
            <w:r>
              <w:rPr>
                <w:rFonts w:ascii="Arial" w:cs="Arial" w:eastAsia="Arial" w:hAnsi="Arial"/>
                <w:b w:val="false"/>
                <w:bCs w:val="false"/>
                <w:color w:val="1C2833"/>
                <w:sz w:val="19"/>
                <w:szCs w:val="19"/>
              </w:rPr>
              <w:t xml:space="preserve"/>
            </w:r>
          </w:p>
          <w:p>
            <w:pPr>
              <w:spacing w:after="30" w:before="30"/>
            </w:pPr>
            <w:r>
              <w:rPr>
                <w:rFonts w:ascii="Arial" w:cs="Arial" w:eastAsia="Arial" w:hAnsi="Arial"/>
                <w:b/>
                <w:bCs/>
                <w:color w:val="1F3864"/>
                <w:sz w:val="19"/>
                <w:szCs w:val="19"/>
              </w:rPr>
              <w:t xml:space="preserve">Outcomes: </w:t>
            </w:r>
          </w:p>
          <w:p>
            <w:pPr>
              <w:spacing w:after="30" w:before="30"/>
            </w:pPr>
            <w:r>
              <w:rPr>
                <w:rFonts w:ascii="Arial" w:cs="Arial" w:eastAsia="Arial" w:hAnsi="Arial"/>
                <w:b w:val="false"/>
                <w:bCs w:val="false"/>
                <w:color w:val="1C2833"/>
                <w:sz w:val="19"/>
                <w:szCs w:val="19"/>
              </w:rPr>
              <w:t xml:space="preserve">20+ SME farmers piloted; ≥3 EU buyer connections; Workflow 1 fully validated; open NGSI-LD dataset published; M4 + M9 deliverables met.</w:t>
            </w:r>
          </w:p>
        </w:tc>
      </w:tr>
    </w:tbl>
    <w:p>
      <w:r>
        <w:br w:type="page"/>
      </w:r>
    </w:p>
    <w:p>
      <w:pPr>
        <w:pStyle w:val="Heading1"/>
        <w:pBdr>
          <w:bottom w:val="single" w:color="1F6FAE" w:sz="6" w:space="3"/>
        </w:pBdr>
        <w:spacing w:after="100" w:before="200"/>
      </w:pPr>
      <w:r>
        <w:rPr>
          <w:rFonts w:ascii="Arial" w:cs="Arial" w:eastAsia="Arial" w:hAnsi="Arial"/>
          <w:b/>
          <w:bCs/>
          <w:color w:val="1F3864"/>
          <w:sz w:val="26"/>
          <w:szCs w:val="26"/>
        </w:rPr>
        <w:t xml:space="preserve">1  EXCELLENCE</w:t>
      </w:r>
    </w:p>
    <w:p>
      <w:pPr>
        <w:pStyle w:val="Heading2"/>
        <w:spacing w:after="80" w:before="150"/>
      </w:pPr>
      <w:r>
        <w:rPr>
          <w:rFonts w:ascii="Arial" w:cs="Arial" w:eastAsia="Arial" w:hAnsi="Arial"/>
          <w:b/>
          <w:bCs/>
          <w:color w:val="1F6FAE"/>
          <w:sz w:val="22"/>
          <w:szCs w:val="22"/>
        </w:rPr>
        <w:t xml:space="preserve">1.1  Detailed Description</w:t>
      </w:r>
    </w:p>
    <w:p>
      <w:pPr>
        <w:spacing w:after="60" w:before="100"/>
      </w:pPr>
      <w:r>
        <w:rPr>
          <w:rFonts w:ascii="Arial" w:cs="Arial" w:eastAsia="Arial" w:hAnsi="Arial"/>
          <w:b/>
          <w:bCs/>
          <w:color w:val="C0392B"/>
          <w:sz w:val="20"/>
          <w:szCs w:val="20"/>
        </w:rPr>
        <w:t xml:space="preserve">1.1.1  Concept and Objectives</w:t>
      </w:r>
    </w:p>
    <w:p>
      <w:pPr>
        <w:spacing w:after="50" w:before="40"/>
      </w:pPr>
      <w:r>
        <w:rPr>
          <w:rFonts w:ascii="Arial" w:cs="Arial" w:eastAsia="Arial" w:hAnsi="Arial"/>
          <w:color w:val="1C2833"/>
          <w:sz w:val="19"/>
          <w:szCs w:val="19"/>
        </w:rPr>
        <w:t xml:space="preserve">AgroChain Ukraine targets the structural exclusion of Ukrainian SME agri-exporters from EU premium markets — a gap that will widen as EU Farm to Fork digital traceability mandates tighten from 2025 onward. The methodology combines: (i) IoT data collection at farms and silos via MQTT-to-NGSI-LD edge pipeline; (ii) immutable Solana smart contracts for GrainLot passports and TradeEscrow payments; (iii) REST API integration with Ukrainian state systems (SSUFSCP eFood phytosanitary, Customs ASMO, Diia identity); (iv) deployment as a COP-PILOT Workflow 1 service via Helm/Kubernetes on Cluster 3A ATSI testbed.</w:t>
      </w:r>
    </w:p>
    <w:p>
      <w:pPr>
        <w:spacing w:after="0" w:before="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3200"/>
        <w:gridCol w:w="1600"/>
      </w:tblGrid>
      <w:tr>
        <w:tc>
          <w:tcPr>
            <w:tcW w:type="dxa" w:w="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SMART Objective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KPI</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Month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O1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Deploy IoT-NGSI-LD pipeline for silo sensors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≥5 NGSI-LD compliant IoT streams active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M3</w:t>
            </w:r>
          </w:p>
        </w:tc>
      </w:tr>
      <w:tr>
        <w:tc>
          <w:tcPr>
            <w:tcW w:type="dxa" w:w="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O2</w:t>
            </w:r>
          </w:p>
        </w:tc>
        <w:tc>
          <w:tcPr>
            <w:tcW w:type="dxa" w:w="3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COP-PILOT Workflow 1 onboarding complete</w:t>
            </w:r>
          </w:p>
        </w:tc>
        <w:tc>
          <w:tcPr>
            <w:tcW w:type="dxa" w:w="3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Service catalogued in ESO marketplace via TMF 641</w:t>
            </w:r>
          </w:p>
        </w:tc>
        <w:tc>
          <w:tcPr>
            <w:tcW w:type="dxa" w:w="1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M3</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O3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Anchor GrainLot passports on Solana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100% pilot lots on-chain within 24h of certification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M5</w:t>
            </w:r>
          </w:p>
        </w:tc>
      </w:tr>
      <w:tr>
        <w:tc>
          <w:tcPr>
            <w:tcW w:type="dxa" w:w="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O4</w:t>
            </w:r>
          </w:p>
        </w:tc>
        <w:tc>
          <w:tcPr>
            <w:tcW w:type="dxa" w:w="3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Execute TradeEscrow smart contracts</w:t>
            </w:r>
          </w:p>
        </w:tc>
        <w:tc>
          <w:tcPr>
            <w:tcW w:type="dxa" w:w="3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≥3 automated end-to-end payments triggered by Customs API</w:t>
            </w:r>
          </w:p>
        </w:tc>
        <w:tc>
          <w:tcPr>
            <w:tcW w:type="dxa" w:w="1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M7</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O5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Connect EU buyers to platform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≥3 verified importers; LOIs or test transactions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M7</w:t>
            </w:r>
          </w:p>
        </w:tc>
      </w:tr>
      <w:tr>
        <w:tc>
          <w:tcPr>
            <w:tcW w:type="dxa" w:w="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O6</w:t>
            </w:r>
          </w:p>
        </w:tc>
        <w:tc>
          <w:tcPr>
            <w:tcW w:type="dxa" w:w="3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Publish open dataset + deliver M9 report</w:t>
            </w:r>
          </w:p>
        </w:tc>
        <w:tc>
          <w:tcPr>
            <w:tcW w:type="dxa" w:w="3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NGSI-LD dataset CC BY 4.0; M9 final report</w:t>
            </w:r>
          </w:p>
        </w:tc>
        <w:tc>
          <w:tcPr>
            <w:tcW w:type="dxa" w:w="1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M8–M9</w:t>
            </w:r>
          </w:p>
        </w:tc>
      </w:tr>
    </w:tbl>
    <w:p>
      <w:pPr>
        <w:spacing w:after="60" w:before="100"/>
      </w:pPr>
      <w:r>
        <w:rPr>
          <w:rFonts w:ascii="Arial" w:cs="Arial" w:eastAsia="Arial" w:hAnsi="Arial"/>
          <w:b/>
          <w:bCs/>
          <w:color w:val="C0392B"/>
          <w:sz w:val="20"/>
          <w:szCs w:val="20"/>
        </w:rPr>
        <w:t xml:space="preserve">1.1.2  State of the Art and Innovation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60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Existing Solution</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Limitation</w:t>
            </w:r>
          </w:p>
        </w:tc>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AgroChain Advance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IBM Food Trust / Walmart blockchain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Closed ecosystem; inaccessible to SMEs; no state registry integration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 Solana; free for farmers; SSUFSCP/Customs write directly on-chain</w:t>
            </w:r>
          </w:p>
        </w:tc>
      </w:tr>
      <w:tr>
        <w:tc>
          <w:tcPr>
            <w:tcW w:type="dxa" w:w="2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EU TRACES (phytosanitary)</w:t>
            </w:r>
          </w:p>
        </w:tc>
        <w:tc>
          <w:tcPr>
            <w:tcW w:type="dxa" w:w="2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G2G only; no private trade flow or IoT data</w:t>
            </w:r>
          </w:p>
        </w:tc>
        <w:tc>
          <w:tcPr>
            <w:tcW w:type="dxa" w:w="3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AgroChain extends TRACES data into private buyer marketplace via NGSI-LD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SAP Agri / Trimble ERP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Expensive; requires IT dept; no blockchain anchoring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Mobile-first; zero IT overhead; Solana anchoring at &lt;$0.001/tx</w:t>
            </w:r>
          </w:p>
        </w:tc>
      </w:tr>
      <w:tr>
        <w:tc>
          <w:tcPr>
            <w:tcW w:type="dxa" w:w="2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SWIFT letters of credit</w:t>
            </w:r>
          </w:p>
        </w:tc>
        <w:tc>
          <w:tcPr>
            <w:tcW w:type="dxa" w:w="2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30–90 day settlement; bank fees 1–3%</w:t>
            </w:r>
          </w:p>
        </w:tc>
        <w:tc>
          <w:tcPr>
            <w:tcW w:type="dxa" w:w="3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Solana smart contract: instant release on Customs API event; near-zero fee</w:t>
            </w:r>
          </w:p>
        </w:tc>
      </w:tr>
    </w:tbl>
    <w:p>
      <w:pPr>
        <w:spacing w:after="50" w:before="40"/>
      </w:pPr>
      <w:r>
        <w:t>TRL progression: entry TRL 5 (concept validated and MVP fully integrated with COP-PILOT NGSI-LD and TMForum standards) → exit TRL 8. Novel contribution to COP-PILOT: first integration of a public Layer-1 blockchain (Solana) as an immutable data anchoring layer for IoT provenance records within a COP-PILOT service. The service is already containerized (Docker), orchestrated (Helm), and exposes an LLM-assisted service onboarding via TMF 633 (Service Catalog) and SIF OpenZiti mTLS micro-tunneling.</w:t>
      </w:r>
    </w:p>
    <w:p>
      <w:pPr>
        <w:spacing w:after="60" w:before="100"/>
      </w:pPr>
      <w:r>
        <w:rPr>
          <w:rFonts w:ascii="Arial" w:cs="Arial" w:eastAsia="Arial" w:hAnsi="Arial"/>
          <w:b/>
          <w:bCs/>
          <w:color w:val="C0392B"/>
          <w:sz w:val="20"/>
          <w:szCs w:val="20"/>
        </w:rPr>
        <w:t xml:space="preserve">1.1.3  Relevance to COP-PILOT Scope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COP-PILOT Component</w:t>
            </w:r>
          </w:p>
        </w:tc>
        <w:tc>
          <w:tcPr>
            <w:tcW w:type="dxa" w:w="6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AgroChain Integration Role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Cluster 3A ATSI</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Primary target: extends ATSI beyond crop production into post-harvest export pipeline</w:t>
            </w:r>
          </w:p>
        </w:tc>
      </w:tr>
      <w:tr>
        <w:tc>
          <w:tcPr>
            <w:tcW w:type="dxa" w:w="2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Workflow 1 (New Service)</w:t>
            </w:r>
          </w:p>
        </w:tc>
        <w:tc>
          <w:tcPr>
            <w:tcW w:type="dxa" w:w="6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Containerised microservice onboarded via CI/CD (Helm charts) → ESO/DO catalogued via TMF 641/633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Data Management (FIWARE Orion-LD)</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All IoT sensor data modelled as NGSI-LD GrainLot entities; published to Orion-LD broker</w:t>
            </w:r>
          </w:p>
        </w:tc>
      </w:tr>
      <w:tr>
        <w:tc>
          <w:tcPr>
            <w:tcW w:type="dxa" w:w="2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Secure Integration Fabric (OpenZiti)</w:t>
            </w:r>
          </w:p>
        </w:tc>
        <w:tc>
          <w:tcPr>
            <w:tcW w:type="dxa" w:w="6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Ukraine-to-EU buyer cross-border data flows secured via SIF zero-trust tunnels (no manual VPN)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ESO / TMF APIs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AgroChain service ordered by EU buyers via TMF 641 Service Ordering through Business Portal LLM</w:t>
            </w:r>
          </w:p>
        </w:tc>
      </w:tr>
      <w:tr>
        <w:tc>
          <w:tcPr>
            <w:tcW w:type="dxa" w:w="2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COP-PILOT Trinity (Intelligence/Automation)</w:t>
            </w:r>
          </w:p>
        </w:tc>
        <w:tc>
          <w:tcPr>
            <w:tcW w:type="dxa" w:w="6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ML quality anomaly detection as new Intelligence service; Customs-trigger payment as new Automation service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Cross-domain (CL2 Valencia)</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Cross-cluster validation: AgroChain telemetry processed on Valencia IoT testbed nodes</w:t>
            </w:r>
          </w:p>
        </w:tc>
      </w:tr>
    </w:tbl>
    <w:p>
      <w:pPr>
        <w:spacing w:after="60" w:before="100"/>
      </w:pPr>
      <w:r>
        <w:rPr>
          <w:rFonts w:ascii="Arial" w:cs="Arial" w:eastAsia="Arial" w:hAnsi="Arial"/>
          <w:b/>
          <w:bCs/>
          <w:color w:val="C0392B"/>
          <w:sz w:val="20"/>
          <w:szCs w:val="20"/>
        </w:rPr>
        <w:t xml:space="preserve">1.1.4  Data Management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2200"/>
        <w:gridCol w:w="120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Dataset</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Format</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Volume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Open Access</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GDPR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IoT sensor telemetry (silo, GPS)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NGSI-LD JSON-LD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~300 MB/month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Yes — CC BY 4.0 via COP-PILOT DM (M8)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Anonymised; no PII</w:t>
            </w:r>
          </w:p>
        </w:tc>
      </w:tr>
      <w:tr>
        <w:tc>
          <w:tcPr>
            <w:tcW w:type="dxa" w:w="2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GrainLot blockchain records</w:t>
            </w:r>
          </w:p>
        </w:tc>
        <w:tc>
          <w:tcPr>
            <w:tcW w:type="dxa" w:w="1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JSON on Solana public ledger</w:t>
            </w:r>
          </w:p>
        </w:tc>
        <w:tc>
          <w:tcPr>
            <w:tcW w:type="dxa" w:w="1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~500 KB/lot</w:t>
            </w:r>
          </w:p>
        </w:tc>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Yes — public blockchain</w:t>
            </w:r>
          </w:p>
        </w:tc>
        <w:tc>
          <w:tcPr>
            <w:tcW w:type="dxa" w:w="1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No PII on-chain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Phytosanitary certificate hashes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SHA-256 hash + NGSI-LD ref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 KB/cert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Hash open; PDF via SIF to buyer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Hash only; no PII</w:t>
            </w:r>
          </w:p>
        </w:tc>
      </w:tr>
      <w:tr>
        <w:tc>
          <w:tcPr>
            <w:tcW w:type="dxa" w:w="2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Farmer identity (Diia KYC)</w:t>
            </w:r>
          </w:p>
        </w:tc>
        <w:tc>
          <w:tcPr>
            <w:tcW w:type="dxa" w:w="1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Zero-Knowledge Proof reference</w:t>
            </w:r>
          </w:p>
        </w:tc>
        <w:tc>
          <w:tcPr>
            <w:tcW w:type="dxa" w:w="1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N/A</w:t>
            </w:r>
          </w:p>
        </w:tc>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No — privacy protected</w:t>
            </w:r>
          </w:p>
        </w:tc>
        <w:tc>
          <w:tcPr>
            <w:tcW w:type="dxa" w:w="1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ZKP; never stored on-chain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Pilot evaluation dataset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CSV/JSON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~30 MB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Yes — CC BY 4.0 (M9)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Aggregated; no PII</w:t>
            </w:r>
          </w:p>
        </w:tc>
      </w:tr>
    </w:tbl>
    <w:p>
      <w:pPr>
        <w:pStyle w:val="Heading2"/>
        <w:spacing w:after="80" w:before="150"/>
      </w:pPr>
      <w:r>
        <w:rPr>
          <w:rFonts w:ascii="Arial" w:cs="Arial" w:eastAsia="Arial" w:hAnsi="Arial"/>
          <w:b/>
          <w:bCs/>
          <w:color w:val="1F6FAE"/>
          <w:sz w:val="22"/>
          <w:szCs w:val="22"/>
        </w:rPr>
        <w:t xml:space="preserve">1.2  Infrastructure Requirements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Requirement</w:t>
            </w:r>
          </w:p>
        </w:tc>
        <w:tc>
          <w:tcPr>
            <w:tcW w:type="dxa" w:w="6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Testbed</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Primary: Cluster 3A (ATSI); Secondary: CL2 Valencia (cross-domain validation, M5–M7)</w:t>
            </w:r>
          </w:p>
        </w:tc>
      </w:tr>
      <w:tr>
        <w:tc>
          <w:tcPr>
            <w:tcW w:type="dxa" w:w="2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COP-PILOT components</w:t>
            </w:r>
          </w:p>
        </w:tc>
        <w:tc>
          <w:tcPr>
            <w:tcW w:type="dxa" w:w="6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Domain Orchestrator, FIWARE Orion-LD, ESO (TMF 641/633), SIF (OpenZiti), Business Portal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Compute (edge)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 edge nodes: 4 vCPU / 8 GB RAM (IoT-NGSI-LD pipeline + Solana event listener)</w:t>
            </w:r>
          </w:p>
        </w:tc>
      </w:tr>
      <w:tr>
        <w:tc>
          <w:tcPr>
            <w:tcW w:type="dxa" w:w="2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Compute (core)</w:t>
            </w:r>
          </w:p>
        </w:tc>
        <w:tc>
          <w:tcPr>
            <w:tcW w:type="dxa" w:w="6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1 core instance: 8 vCPU / 16 GB RAM (AgroChain API server + buyer portal backend)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Network</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10 Mbps sustained (IoT ingestion); 100 Mbps burst (Solana sync); SIF tunnel to EU buyer nodes</w:t>
            </w:r>
          </w:p>
        </w:tc>
      </w:tr>
      <w:tr>
        <w:tc>
          <w:tcPr>
            <w:tcW w:type="dxa" w:w="2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Storage</w:t>
            </w:r>
          </w:p>
        </w:tc>
        <w:tc>
          <w:tcPr>
            <w:tcW w:type="dxa" w:w="6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300 GB (NGSI-LD time-series + document hashes + evaluation dataset)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Protocols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MQTT v5 → NGSI-LD (IoT); REST/TMF 641 (service ordering); OpenZiti mTLS (cross-border)</w:t>
            </w:r>
          </w:p>
        </w:tc>
      </w:tr>
      <w:tr>
        <w:tc>
          <w:tcPr>
            <w:tcW w:type="dxa" w:w="2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Standards</w:t>
            </w:r>
          </w:p>
        </w:tc>
        <w:tc>
          <w:tcPr>
            <w:tcW w:type="dxa" w:w="6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ETSI NGSI-LD (GS CIM 009 V1.9.1); TMF 641/633/638; OAuth2/OIDC (Keycloak); GAIA-X principles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Hardware (applicant)</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8× Raspberry Pi 4 IoT gateways at pilot silos (provided by AgroChain)</w:t>
            </w:r>
          </w:p>
        </w:tc>
      </w:tr>
      <w:tr>
        <w:tc>
          <w:tcPr>
            <w:tcW w:type="dxa" w:w="2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External APIs</w:t>
            </w:r>
          </w:p>
        </w:tc>
        <w:tc>
          <w:tcPr>
            <w:tcW w:type="dxa" w:w="6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SSUFSCP eFood REST; Ukrainian Customs ASMO REST; Diia ID; Solana public RPC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Use period</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M2–M8 continuous (7 months); access: continuous (IoT) + periodic (service updates)</w:t>
            </w:r>
          </w:p>
        </w:tc>
      </w:tr>
    </w:tbl>
    <w:p>
      <w:r>
        <w:br w:type="page"/>
      </w:r>
    </w:p>
    <w:p>
      <w:pPr>
        <w:pStyle w:val="Heading1"/>
        <w:pBdr>
          <w:bottom w:val="single" w:color="1F6FAE" w:sz="6" w:space="3"/>
        </w:pBdr>
        <w:spacing w:after="100" w:before="200"/>
      </w:pPr>
      <w:r>
        <w:rPr>
          <w:rFonts w:ascii="Arial" w:cs="Arial" w:eastAsia="Arial" w:hAnsi="Arial"/>
          <w:b/>
          <w:bCs/>
          <w:color w:val="1F3864"/>
          <w:sz w:val="26"/>
          <w:szCs w:val="26"/>
        </w:rPr>
        <w:t xml:space="preserve">2  IMPACT</w:t>
      </w:r>
    </w:p>
    <w:p>
      <w:pPr>
        <w:pStyle w:val="Heading2"/>
        <w:spacing w:after="80" w:before="150"/>
      </w:pPr>
      <w:r>
        <w:rPr>
          <w:rFonts w:ascii="Arial" w:cs="Arial" w:eastAsia="Arial" w:hAnsi="Arial"/>
          <w:b/>
          <w:bCs/>
          <w:color w:val="1F6FAE"/>
          <w:sz w:val="22"/>
          <w:szCs w:val="22"/>
        </w:rPr>
        <w:t xml:space="preserve">2.1  Expected Impact and Sustainability</w:t>
      </w:r>
    </w:p>
    <w:p>
      <w:pPr>
        <w:spacing w:after="60" w:before="100"/>
      </w:pPr>
      <w:r>
        <w:rPr>
          <w:rFonts w:ascii="Arial" w:cs="Arial" w:eastAsia="Arial" w:hAnsi="Arial"/>
          <w:b/>
          <w:bCs/>
          <w:color w:val="C0392B"/>
          <w:sz w:val="20"/>
          <w:szCs w:val="20"/>
        </w:rPr>
        <w:t xml:space="preserve">Technical Impact on COP-PILOT Platform</w:t>
      </w:r>
    </w:p>
    <w:p>
      <w:pPr>
        <w:spacing w:after="50" w:before="40"/>
      </w:pPr>
      <w:r>
        <w:t>AgroChain Ukraine has successfully validated and implemented the core COP-PILOT structural requirements: (1) LLM-assisted service onboarding — our TMF 633 JSON payload configures OpenSlice for native natural language querying; (2) SIF zero-trust cross-border tunnels — Helm charts natively deploy OpenZiti identities; (3) NGSI-LD multi-domain data sharing — our custom translator module translates Solana transaction hashes and Derzhprodspozhyvsluzhba Phytosanitary statuses into strict ETSI NGSI-LD standards. (4) CI/CD GitOps workflow is structurally built for push-button platform integration.</w:t>
      </w:r>
    </w:p>
    <w:p>
      <w:pPr>
        <w:spacing w:after="60" w:before="100"/>
      </w:pPr>
      <w:r>
        <w:rPr>
          <w:rFonts w:ascii="Arial" w:cs="Arial" w:eastAsia="Arial" w:hAnsi="Arial"/>
          <w:b/>
          <w:bCs/>
          <w:color w:val="C0392B"/>
          <w:sz w:val="20"/>
          <w:szCs w:val="20"/>
        </w:rPr>
        <w:t xml:space="preserve">Economic, Social &amp; Environmental Impact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80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Beneficiary</w:t>
            </w:r>
          </w:p>
        </w:tc>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Impact</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Scale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Ukrainian SME farmers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+15–25% price premium for blockchain-verified grain vs commodity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20 farmers pilot → 500+ Year 2</w:t>
            </w:r>
          </w:p>
        </w:tc>
      </w:tr>
      <w:tr>
        <w:tc>
          <w:tcPr>
            <w:tcW w:type="dxa" w:w="2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European importers</w:t>
            </w:r>
          </w:p>
        </w:tc>
        <w:tc>
          <w:tcPr>
            <w:tcW w:type="dxa" w:w="3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Payment risk eliminated; Farm-to-Fork compliance without extra cost</w:t>
            </w:r>
          </w:p>
        </w:tc>
        <w:tc>
          <w:tcPr>
            <w:tcW w:type="dxa" w:w="2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≥3 importers in pilot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Women farmers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50%+ of Ukraine small farm beneficiaries (World Bank ARISE data); mobile-first removes admin barriers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Specific outreach in pilot</w:t>
            </w:r>
          </w:p>
        </w:tc>
      </w:tr>
      <w:tr>
        <w:tc>
          <w:tcPr>
            <w:tcW w:type="dxa" w:w="2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ESG investors / EU retailers</w:t>
            </w:r>
          </w:p>
        </w:tc>
        <w:tc>
          <w:tcPr>
            <w:tcW w:type="dxa" w:w="3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Verifiable ESG data per shipment (carbon, land use) for Farm-to-Fork due diligence</w:t>
            </w:r>
          </w:p>
        </w:tc>
        <w:tc>
          <w:tcPr>
            <w:tcW w:type="dxa" w:w="2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REWE, Carrefour sourcing teams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COP-PILOT ecosystem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Replicable model for 6 Eastern European EU candidate countries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Georgia, Moldova applicable</w:t>
            </w:r>
          </w:p>
        </w:tc>
      </w:tr>
    </w:tbl>
    <w:p>
      <w:pPr>
        <w:spacing w:after="60" w:before="100"/>
      </w:pPr>
      <w:r>
        <w:rPr>
          <w:rFonts w:ascii="Arial" w:cs="Arial" w:eastAsia="Arial" w:hAnsi="Arial"/>
          <w:b/>
          <w:bCs/>
          <w:color w:val="C0392B"/>
          <w:sz w:val="20"/>
          <w:szCs w:val="20"/>
        </w:rPr>
        <w:t xml:space="preserve">Risk Assessment and Mitigation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480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Risk</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Likelihood</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Impact</w:t>
            </w:r>
          </w:p>
        </w:tc>
        <w:tc>
          <w:tcPr>
            <w:tcW w:type="dxa" w:w="4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SSUFSCP eFood API access delayed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Fallback: manual hash upload via SSUFSCP portal; API MOU in preparation (Global Alliance / Sida connection)</w:t>
            </w:r>
          </w:p>
        </w:tc>
      </w:tr>
      <w:tr>
        <w:tc>
          <w:tcPr>
            <w:tcW w:type="dxa" w:w="2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Solana network congestion</w:t>
            </w:r>
          </w:p>
        </w:tc>
        <w:tc>
          <w:tcPr>
            <w:tcW w:type="dxa" w:w="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Low</w:t>
            </w:r>
          </w:p>
        </w:tc>
        <w:tc>
          <w:tcPr>
            <w:tcW w:type="dxa" w:w="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Medium</w:t>
            </w:r>
          </w:p>
        </w:tc>
        <w:tc>
          <w:tcPr>
            <w:tcW w:type="dxa" w:w="4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Solana processes 65,000 TPS; grain shipments &lt;100/day — negligible load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Farmer mobile adoption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Pilot with 5 early adopters M1–M3; iterate UX before M4 scale-up</w:t>
            </w:r>
          </w:p>
        </w:tc>
      </w:tr>
      <w:tr>
        <w:tc>
          <w:tcPr>
            <w:tcW w:type="dxa" w:w="2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COP-PILOT testbed access delay</w:t>
            </w:r>
          </w:p>
        </w:tc>
        <w:tc>
          <w:tcPr>
            <w:tcW w:type="dxa" w:w="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Low</w:t>
            </w:r>
          </w:p>
        </w:tc>
        <w:tc>
          <w:tcPr>
            <w:tcW w:type="dxa" w:w="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High</w:t>
            </w:r>
          </w:p>
        </w:tc>
        <w:tc>
          <w:tcPr>
            <w:tcW w:type="dxa" w:w="4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Contact opencalls@cop-pilot.eu M1 week 1; Valencia fallback for edge compute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Eligibility: Ukrainian entity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Ukraine = Horizon Europe Associated Country since June 2022 (EC Decision C(2022)4540)</w:t>
            </w:r>
          </w:p>
        </w:tc>
      </w:tr>
    </w:tbl>
    <w:p>
      <w:pPr>
        <w:spacing w:after="60" w:before="100"/>
      </w:pPr>
      <w:r>
        <w:rPr>
          <w:rFonts w:ascii="Arial" w:cs="Arial" w:eastAsia="Arial" w:hAnsi="Arial"/>
          <w:b/>
          <w:bCs/>
          <w:color w:val="C0392B"/>
          <w:sz w:val="20"/>
          <w:szCs w:val="20"/>
        </w:rPr>
        <w:t xml:space="preserve">Sustainability &amp; Replicability</w:t>
      </w:r>
    </w:p>
    <w:p>
      <w:pPr>
        <w:spacing w:after="50" w:before="40"/>
      </w:pPr>
      <w:r>
        <w:rPr>
          <w:rFonts w:ascii="Arial" w:cs="Arial" w:eastAsia="Arial" w:hAnsi="Arial"/>
          <w:color w:val="1C2833"/>
          <w:sz w:val="19"/>
          <w:szCs w:val="19"/>
        </w:rPr>
        <w:t xml:space="preserve">Commercial sustainability from Month 10: (a) 0.1% smart contract transaction fee — at €500K/month trade volume = €500/month; (b) EU buyer portal SaaS: €400/month/importer; (c) API access for GAFTA/COCERAL member companies. Post-project: EBRD AgVenture partnership (active discussion) for scale-up investment. Platform replicable to Moldova, Georgia, and other Horizon Europe Associated Countries with active agri-export sectors. All code open-sourced on GitHub under Apache 2.0.</w:t>
      </w:r>
    </w:p>
    <w:p>
      <w:pPr>
        <w:pStyle w:val="Heading2"/>
        <w:spacing w:after="80" w:before="150"/>
      </w:pPr>
      <w:r>
        <w:rPr>
          <w:rFonts w:ascii="Arial" w:cs="Arial" w:eastAsia="Arial" w:hAnsi="Arial"/>
          <w:b/>
          <w:bCs/>
          <w:color w:val="1F6FAE"/>
          <w:sz w:val="22"/>
          <w:szCs w:val="22"/>
        </w:rPr>
        <w:t xml:space="preserve">2.2  Expected Outcomes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COP-PILOT Required Outcome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AgroChain Delivery</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Measurable KPI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Platform Validation &amp; Feedback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Workflow 1 tested end-to-end; SIF cross-border tunnel in live trade; LLM portal queried by EU buyers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Service deployment &lt;30 min; ≥3 SIF cross-border sessions logged; ≥5 user feedback reports</w:t>
            </w:r>
          </w:p>
        </w:tc>
      </w:tr>
      <w:tr>
        <w:tc>
          <w:tcPr>
            <w:tcW w:type="dxa" w:w="2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Ecosystem Expansion</w:t>
            </w:r>
          </w:p>
        </w:tc>
        <w:tc>
          <w:tcPr>
            <w:tcW w:type="dxa" w:w="3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New Cluster 3A service + 3 DIS-L connectors (SSUFSCP, Customs, Diia) + NGSI-LD GrainLot model</w:t>
            </w:r>
          </w:p>
        </w:tc>
        <w:tc>
          <w:tcPr>
            <w:tcW w:type="dxa" w:w="3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All assets published on COP-PILOT registry + GitHub by M8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Cross-Domain Collaboration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ATSI + CL2 Valencia cross-cluster data flow; AgroChain telemetry on Valencia edge nodes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 domains active; cross-cluster latency benchmarked in M9 report</w:t>
            </w:r>
          </w:p>
        </w:tc>
      </w:tr>
      <w:tr>
        <w:tc>
          <w:tcPr>
            <w:tcW w:type="dxa" w:w="2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Open Standards</w:t>
            </w:r>
          </w:p>
        </w:tc>
        <w:tc>
          <w:tcPr>
            <w:tcW w:type="dxa" w:w="3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NGSI-LD (ETSI CIM 009); TMF 641/633/638; OAuth2/OIDC; OpenZiti mTLS; GAIA-X principles</w:t>
            </w:r>
          </w:p>
        </w:tc>
        <w:tc>
          <w:tcPr>
            <w:tcW w:type="dxa" w:w="3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100% TMF API compliance; NGSI-LD dataset validated against ETSI CIM 009</w:t>
            </w:r>
          </w:p>
        </w:tc>
      </w:tr>
    </w:tbl>
    <w:p>
      <w:r>
        <w:br w:type="page"/>
      </w:r>
    </w:p>
    <w:p>
      <w:pPr>
        <w:pStyle w:val="Heading1"/>
        <w:pBdr>
          <w:bottom w:val="single" w:color="1F6FAE" w:sz="6" w:space="3"/>
        </w:pBdr>
        <w:spacing w:after="100" w:before="200"/>
      </w:pPr>
      <w:r>
        <w:rPr>
          <w:rFonts w:ascii="Arial" w:cs="Arial" w:eastAsia="Arial" w:hAnsi="Arial"/>
          <w:b/>
          <w:bCs/>
          <w:color w:val="1F3864"/>
          <w:sz w:val="26"/>
          <w:szCs w:val="26"/>
        </w:rPr>
        <w:t xml:space="preserve">3  QUALITY AND EFFICIENCY OF THE IMPLEMENTATION</w:t>
      </w:r>
    </w:p>
    <w:p>
      <w:pPr>
        <w:pStyle w:val="Heading2"/>
        <w:spacing w:after="80" w:before="150"/>
      </w:pPr>
      <w:r>
        <w:rPr>
          <w:rFonts w:ascii="Arial" w:cs="Arial" w:eastAsia="Arial" w:hAnsi="Arial"/>
          <w:b/>
          <w:bCs/>
          <w:color w:val="1F6FAE"/>
          <w:sz w:val="22"/>
          <w:szCs w:val="22"/>
        </w:rPr>
        <w:t xml:space="preserve">3.1  Work Plan and Timeline  (8 months M1–M8; reporting M9)</w:t>
      </w:r>
    </w:p>
    <w:tbl>
      <w:tblPr>
        <w:tblW w:type="dxa" w:w="5710"/>
        <w:tblBorders>
          <w:top w:val="single" w:color="auto" w:sz="4"/>
          <w:left w:val="single" w:color="auto" w:sz="4"/>
          <w:bottom w:val="single" w:color="auto" w:sz="4"/>
          <w:right w:val="single" w:color="auto" w:sz="4"/>
          <w:insideH w:val="single" w:color="auto" w:sz="4"/>
          <w:insideV w:val="single" w:color="auto" w:sz="4"/>
        </w:tblBorders>
      </w:tblPr>
      <w:tblGrid>
        <w:gridCol w:w="2200"/>
        <w:gridCol w:w="390"/>
        <w:gridCol w:w="390"/>
        <w:gridCol w:w="390"/>
        <w:gridCol w:w="390"/>
        <w:gridCol w:w="390"/>
        <w:gridCol w:w="390"/>
        <w:gridCol w:w="390"/>
        <w:gridCol w:w="390"/>
        <w:gridCol w:w="39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Activity / Deliverable</w:t>
            </w:r>
          </w:p>
        </w:tc>
        <w:tc>
          <w:tcPr>
            <w:tcW w:type="dxa" w:w="39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M1</w:t>
            </w:r>
          </w:p>
        </w:tc>
        <w:tc>
          <w:tcPr>
            <w:tcW w:type="dxa" w:w="39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M2</w:t>
            </w:r>
          </w:p>
        </w:tc>
        <w:tc>
          <w:tcPr>
            <w:tcW w:type="dxa" w:w="39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M3</w:t>
            </w:r>
          </w:p>
        </w:tc>
        <w:tc>
          <w:tcPr>
            <w:tcW w:type="dxa" w:w="39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M4*</w:t>
            </w:r>
          </w:p>
        </w:tc>
        <w:tc>
          <w:tcPr>
            <w:tcW w:type="dxa" w:w="39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M5</w:t>
            </w:r>
          </w:p>
        </w:tc>
        <w:tc>
          <w:tcPr>
            <w:tcW w:type="dxa" w:w="39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M6</w:t>
            </w:r>
          </w:p>
        </w:tc>
        <w:tc>
          <w:tcPr>
            <w:tcW w:type="dxa" w:w="39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M7</w:t>
            </w:r>
          </w:p>
        </w:tc>
        <w:tc>
          <w:tcPr>
            <w:tcW w:type="dxa" w:w="39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M8</w:t>
            </w:r>
          </w:p>
        </w:tc>
        <w:tc>
          <w:tcPr>
            <w:tcW w:type="dxa" w:w="39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PHASE 1: Design &amp; Planning</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P1.1 Architecture &amp; API specs</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P1.2 NGSI-LD GrainLot data model</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P1.3 COP-PILOT Workflow 1 onboarding</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P1.4 IoT hardware at pilot farms</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PHASE 2: Implementation</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P2.1 IoT-MQTT-NGSI-LD pipeline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P2.2 GrainLot + TradeEscrow (Solana)</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P2.3 State API connectors (SSUFSCP, Customs)</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P2.4 Mobile farmer app + buyer portal</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PHASE 3: Testing &amp; Validation</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P3.1 Pilot: 20 farmers — Odesa region</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P3.2 ≥3 live cross-border transactions</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P3.3 CL2 Valencia cross-cluster test</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PHASE 4: Evaluation &amp; Reporting</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P4.1 Open NGSI-LD dataset publication</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P4.2 Scientific paper draft</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 M4 INTERMEDIATE REPORT (M1–M3)</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M4</w:t>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 M9 FINAL REPORT (M4–M8)</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M9</w:t>
            </w:r>
          </w:p>
        </w:tc>
      </w:tr>
    </w:tbl>
    <w:p>
      <w:pPr>
        <w:spacing w:after="50" w:before="40"/>
      </w:pPr>
      <w:r>
        <w:rPr>
          <w:rFonts w:ascii="Arial" w:cs="Arial" w:eastAsia="Arial" w:hAnsi="Arial"/>
          <w:color w:val="1C2833"/>
          <w:sz w:val="19"/>
          <w:szCs w:val="19"/>
        </w:rPr>
        <w:t xml:space="preserve">Critical path: Workflow 1 onboarding (M2–M3) → IoT pipeline + Solana contracts (M3–M4) → State API connectors (M4–M6) → Pilot transactions (M6–M7) → Buyer marketplace + cross-cluster (M7–M8). SSUFSCP API access is the critical dependency; fallback manual hash upload mitigates delay risk.</w:t>
      </w:r>
    </w:p>
    <w:p>
      <w:pPr>
        <w:pStyle w:val="Heading2"/>
        <w:spacing w:after="80" w:before="150"/>
      </w:pPr>
      <w:r>
        <w:rPr>
          <w:rFonts w:ascii="Arial" w:cs="Arial" w:eastAsia="Arial" w:hAnsi="Arial"/>
          <w:b/>
          <w:bCs/>
          <w:color w:val="1F6FAE"/>
          <w:sz w:val="22"/>
          <w:szCs w:val="22"/>
        </w:rPr>
        <w:t xml:space="preserve">3.2  Team Qualifications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800"/>
        <w:gridCol w:w="140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Role</w:t>
            </w:r>
          </w:p>
        </w:tc>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Background</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FTE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Months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Project Lead / CEO</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8 yrs Ukrainian agri-logistics; stakeholder relations; EBRD/IFC/Sida engagement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0.7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M1–M8</w:t>
            </w:r>
          </w:p>
        </w:tc>
      </w:tr>
      <w:tr>
        <w:tc>
          <w:tcPr>
            <w:tcW w:type="dxa" w:w="2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Blockchain Developer (Solana)</w:t>
            </w:r>
          </w:p>
        </w:tc>
        <w:tc>
          <w:tcPr>
            <w:tcW w:type="dxa" w:w="3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Solana smart contracts (Rust/Anchor); DeFi escrow; 5 yrs blockchain</w:t>
            </w:r>
          </w:p>
        </w:tc>
        <w:tc>
          <w:tcPr>
            <w:tcW w:type="dxa" w:w="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0.8</w:t>
            </w:r>
          </w:p>
        </w:tc>
        <w:tc>
          <w:tcPr>
            <w:tcW w:type="dxa" w:w="1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M1–M8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IoT / Edge Engineer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MQTT, NGSI-LD, Kubernetes, Raspberry Pi; COP-PILOT edge integration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0.8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M1–M8</w:t>
            </w:r>
          </w:p>
        </w:tc>
      </w:tr>
      <w:tr>
        <w:tc>
          <w:tcPr>
            <w:tcW w:type="dxa" w:w="2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Full-Stack Developer</w:t>
            </w:r>
          </w:p>
        </w:tc>
        <w:tc>
          <w:tcPr>
            <w:tcW w:type="dxa" w:w="3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React Native (farmer app), Next.js (buyer portal), REST API design</w:t>
            </w:r>
          </w:p>
        </w:tc>
        <w:tc>
          <w:tcPr>
            <w:tcW w:type="dxa" w:w="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0.8</w:t>
            </w:r>
          </w:p>
        </w:tc>
        <w:tc>
          <w:tcPr>
            <w:tcW w:type="dxa" w:w="1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M2–M8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Data / NGSI-LD Architect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FIWARE Orion-LD, ETSI NGSI-LD data modelling, TMF API compliance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M1–M6</w:t>
            </w:r>
          </w:p>
        </w:tc>
      </w:tr>
      <w:tr>
        <w:tc>
          <w:tcPr>
            <w:tcW w:type="dxa" w:w="2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Agronomy / Compliance Advisor</w:t>
            </w:r>
          </w:p>
        </w:tc>
        <w:tc>
          <w:tcPr>
            <w:tcW w:type="dxa" w:w="3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Ukrainian phytosanitary regulations; SSUFSCP processes; Customs ASMO</w:t>
            </w:r>
          </w:p>
        </w:tc>
        <w:tc>
          <w:tcPr>
            <w:tcW w:type="dxa" w:w="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0.4</w:t>
            </w:r>
          </w:p>
        </w:tc>
        <w:tc>
          <w:tcPr>
            <w:tcW w:type="dxa" w:w="1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M1–M8</w:t>
            </w:r>
          </w:p>
        </w:tc>
      </w:tr>
    </w:tbl>
    <w:p>
      <w:pPr>
        <w:spacing w:after="50" w:before="40"/>
      </w:pPr>
      <w:r>
        <w:rPr>
          <w:rFonts w:ascii="Arial" w:cs="Arial" w:eastAsia="Arial" w:hAnsi="Arial"/>
          <w:color w:val="1C2833"/>
          <w:sz w:val="19"/>
          <w:szCs w:val="19"/>
        </w:rPr>
        <w:t xml:space="preserve">Single SME applicant. Ukraine qualifies as Horizon Europe Associated Country (EC Decision C(2022)4540, June 2022). Track record: active engagement with EBRD AgVenture, World Bank ARISE, Sida/Global Alliance for Trade Facilitation — evidence of institutional access needed for state API integration and buyer network connections.</w:t>
      </w:r>
    </w:p>
    <w:p>
      <w:pPr>
        <w:pStyle w:val="Heading2"/>
        <w:spacing w:after="80" w:before="150"/>
      </w:pPr>
      <w:r>
        <w:rPr>
          <w:rFonts w:ascii="Arial" w:cs="Arial" w:eastAsia="Arial" w:hAnsi="Arial"/>
          <w:b/>
          <w:bCs/>
          <w:color w:val="1F6FAE"/>
          <w:sz w:val="22"/>
          <w:szCs w:val="22"/>
        </w:rPr>
        <w:t xml:space="preserve">3.3  Funding &amp; Justification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160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Budget Item</w:t>
            </w:r>
          </w:p>
        </w:tc>
        <w:tc>
          <w:tcPr>
            <w:tcW w:type="dxa" w:w="4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Detail</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Amount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[A] Personnel</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Project Lead 0.7×8×€4,000; Blockchain Dev 0.8×8×€5,000; IoT Engineer 0.8×8×€4,000; Full-Stack Dev 0.8×8×€3,500; Data Architect 0.5×8×€5,000; Agronomy Advisor 0.4×8×€3,000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€132,000</w:t>
            </w:r>
          </w:p>
        </w:tc>
      </w:tr>
      <w:tr>
        <w:tc>
          <w:tcPr>
            <w:tcW w:type="dxa" w:w="2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[B] Travel</w:t>
            </w:r>
          </w:p>
        </w:tc>
        <w:tc>
          <w:tcPr>
            <w:tcW w:type="dxa" w:w="4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4 trips (2× COP-PILOT cluster events, 2× pilot site visits); avg €900/person</w:t>
            </w:r>
          </w:p>
        </w:tc>
        <w:tc>
          <w:tcPr>
            <w:tcW w:type="dxa" w:w="1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€3,600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[C] Equipment (depreciation)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8× Raspberry Pi 4 + sensors; 3-yr depreciation, 8/36 months used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€1,500</w:t>
            </w:r>
          </w:p>
        </w:tc>
      </w:tr>
      <w:tr>
        <w:tc>
          <w:tcPr>
            <w:tcW w:type="dxa" w:w="2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[D] Other Direct Costs</w:t>
            </w:r>
          </w:p>
        </w:tc>
        <w:tc>
          <w:tcPr>
            <w:tcW w:type="dxa" w:w="4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Cloud infra, Solana RPC node, software licences, open-access publication fee</w:t>
            </w:r>
          </w:p>
        </w:tc>
        <w:tc>
          <w:tcPr>
            <w:tcW w:type="dxa" w:w="1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€10,000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[E] Subcontracting (3.2%)</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NGSI-LD compliance audit: external ETSI expert, 4 days × €800/day (&lt; 20% max)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€3,200</w:t>
            </w:r>
          </w:p>
        </w:tc>
      </w:tr>
      <w:tr>
        <w:tc>
          <w:tcPr>
            <w:tcW w:type="dxa" w:w="2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TOTAL DIRECT COSTS (A+B+C+D+E)</w:t>
            </w:r>
          </w:p>
        </w:tc>
        <w:tc>
          <w:tcPr>
            <w:tcW w:type="dxa" w:w="4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
            </w:r>
          </w:p>
        </w:tc>
        <w:tc>
          <w:tcPr>
            <w:tcW w:type="dxa" w:w="1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€150,300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C2833"/>
                <w:sz w:val="18"/>
                <w:szCs w:val="18"/>
              </w:rPr>
              <w:t xml:space="preserve">[F] Indirect Costs (25% of A+B+C+D)</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25% × (€132,000 + €3,600 + €1,500 + €10,000) = 25% × €147,100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€36,775</w:t>
            </w:r>
          </w:p>
        </w:tc>
      </w:tr>
      <w:tr>
        <w:tc>
          <w:tcPr>
            <w:tcW w:type="dxa" w:w="28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bCs/>
                <w:color w:val="1C2833"/>
                <w:sz w:val="18"/>
                <w:szCs w:val="18"/>
              </w:rPr>
              <w:t xml:space="preserve">TOTAL REQUESTED FUNDING</w:t>
            </w:r>
          </w:p>
        </w:tc>
        <w:tc>
          <w:tcPr>
            <w:tcW w:type="dxa" w:w="44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Within €200,000 maximum</w:t>
            </w:r>
          </w:p>
        </w:tc>
        <w:tc>
          <w:tcPr>
            <w:tcW w:type="dxa" w:w="1600"/>
            <w:tcBorders>
              <w:top w:val="single" w:color="CCCCCC" w:sz="1"/>
              <w:left w:val="single" w:color="CCCCCC" w:sz="1"/>
              <w:bottom w:val="single" w:color="CCCCCC" w:sz="1"/>
              <w:right w:val="single" w:color="CCCCCC" w:sz="1"/>
            </w:tcBorders>
            <w:shd w:fill="F2F4F4" w:val="clear"/>
            <w:tcMar>
              <w:top w:type="dxa" w:w="60"/>
              <w:left w:type="dxa" w:w="100"/>
              <w:bottom w:type="dxa" w:w="60"/>
              <w:right w:type="dxa" w:w="100"/>
            </w:tcMar>
          </w:tcPr>
          <w:p>
            <w:r>
              <w:rPr>
                <w:rFonts w:ascii="Arial" w:cs="Arial" w:eastAsia="Arial" w:hAnsi="Arial"/>
                <w:b w:val="false"/>
                <w:bCs w:val="false"/>
                <w:color w:val="1C2833"/>
                <w:sz w:val="18"/>
                <w:szCs w:val="18"/>
              </w:rPr>
              <w:t xml:space="preserve">€187,075</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pPr>
              <w:spacing w:after="30" w:before="30"/>
            </w:pPr>
            <w:r>
              <w:rPr>
                <w:rFonts w:ascii="Arial" w:cs="Arial" w:eastAsia="Arial" w:hAnsi="Arial"/>
                <w:b/>
                <w:bCs/>
                <w:color w:val="1F3864"/>
                <w:sz w:val="19"/>
                <w:szCs w:val="19"/>
              </w:rPr>
              <w:t xml:space="preserve">Justification:</w:t>
            </w:r>
          </w:p>
          <w:p>
            <w:pPr>
              <w:spacing w:after="30" w:before="30"/>
            </w:pPr>
            <w:r>
              <w:rPr>
                <w:rFonts w:ascii="Arial" w:cs="Arial" w:eastAsia="Arial" w:hAnsi="Arial"/>
                <w:b w:val="false"/>
                <w:bCs w:val="false"/>
                <w:color w:val="1C2833"/>
                <w:sz w:val="19"/>
                <w:szCs w:val="19"/>
              </w:rPr>
              <w:t xml:space="preserve">Personnel (70%) reflects required specialisms: Solana blockchain, IoT-NGSI-LD integration, and TMF API compliance. Ukrainian team rates are below Western EU market rates. Subcontracting (3.2%) is well within 20% cap and covers an independent ETSI NGSI-LD compliance audit to ensure COP-PILOT standards adherence. Travel limited to 4 essential trips within €1,000/person/month cap. Equipment covers only depreciation per lump-sum rules. Total €187,075 provides excellent value: 8-month pilot with 20 farmers, 3 EU buyers, full COP-PILOT Workflow 1 validation, 3 open-source DIS-L connectors, open dataset, and commercial revenue model from Month 10.</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50"/>
      <w:outlineLvl w:val="1"/>
    </w:pPr>
    <w:rPr>
      <w:rFonts w:ascii="Arial" w:cs="Arial" w:eastAsia="Arial" w:hAnsi="Arial"/>
      <w:b/>
      <w:bCs/>
      <w:color w:val="1F6FAE"/>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2026-05-02T05:18:45.129Z</dcterms:created>
  <dcterms:modified xsi:type="dcterms:W3CDTF">2026-05-02T05:18:45.130Z</dcterms:modified>
</cp:coreProperties>
</file>

<file path=docProps/custom.xml><?xml version="1.0" encoding="utf-8"?>
<Properties xmlns="http://schemas.openxmlformats.org/officeDocument/2006/custom-properties" xmlns:vt="http://schemas.openxmlformats.org/officeDocument/2006/docPropsVTypes"/>
</file>