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6544F" w14:textId="036C1560" w:rsidR="00180941" w:rsidRPr="004E7A34" w:rsidRDefault="004E7A34" w:rsidP="00CD3CA0">
      <w:pPr>
        <w:pStyle w:val="1"/>
      </w:pPr>
      <w:r w:rsidRPr="004E7A34">
        <w:t xml:space="preserve">Обнаружение </w:t>
      </w:r>
      <w:r w:rsidR="00347DEC">
        <w:t>острых состояний и хронических заболеваний</w:t>
      </w:r>
      <w:r w:rsidRPr="004E7A34">
        <w:t xml:space="preserve"> в тексте анамнеза</w:t>
      </w:r>
    </w:p>
    <w:p w14:paraId="342DC668" w14:textId="7F315ABF" w:rsidR="004E7A34" w:rsidRPr="00CD3CA0" w:rsidRDefault="007B6C5F" w:rsidP="00CD3CA0">
      <w:r w:rsidRPr="00CD3CA0">
        <w:t xml:space="preserve">В медицинских картах, в том числе медицинских электронных картах (МЭК), информацию о хронических заболеваниях и острых состояниях в прошлом записывают в анамнез. Однако, часто текст анамнеза не структурирован, повествование ведётся на естественном языке с большим числом аббревиатур и специальных медицинских терминов. </w:t>
      </w:r>
      <w:r w:rsidR="00CD3CA0" w:rsidRPr="00CD3CA0">
        <w:t>Для прогнозирования осложнений и острых состояний, постановки диагнозов, назначения некоторых препаратов важно знать об острых состояниях пациента в прошлом. С помощью методов машинного обучения и интеллектуального анализа текстов можно обучить модель для автоматического обнаружения упоминания в тексте болезней или острых состояний.</w:t>
      </w:r>
    </w:p>
    <w:p w14:paraId="392CC937" w14:textId="60232F26" w:rsidR="00EA0C5E" w:rsidRDefault="00CD3CA0" w:rsidP="00CD3CA0">
      <w:r w:rsidRPr="00CD3CA0">
        <w:t xml:space="preserve">Для пациентов с сердечно-сосудистыми заболеваниями </w:t>
      </w:r>
      <w:r>
        <w:t xml:space="preserve">высок риск острого инфаркта миокарда (ОИМ) и острого нарушения мозгового кровообращения (ОНМК) – инсульта. Наличие таких состояний у пациента в прошлом может повлиять на выбор тактики лечения, поэтому важно всегда знать о таких состояниях. Также, для построения любых предсказательных моделей необходима информация об ОИМ и ОНМК. Поэтому была построена модель для автоматического анализа текста анамнеза болезни, которая </w:t>
      </w:r>
      <w:r w:rsidR="00EA0C5E">
        <w:t>способна обнаружить упоминание об остро</w:t>
      </w:r>
      <w:r w:rsidR="00C75971">
        <w:t>м</w:t>
      </w:r>
      <w:r w:rsidR="00EA0C5E">
        <w:t xml:space="preserve"> состояни</w:t>
      </w:r>
      <w:r w:rsidR="00C75971">
        <w:t>и</w:t>
      </w:r>
      <w:r w:rsidR="00EA0C5E">
        <w:t xml:space="preserve"> в прошлом, отрицание пациентом таких состояний или отсутствие какого-либо упоминания о таких состояниях.</w:t>
      </w:r>
    </w:p>
    <w:p w14:paraId="2417A3F2" w14:textId="6C8AAE9C" w:rsidR="00EA0C5E" w:rsidRDefault="00221864" w:rsidP="00CD3CA0">
      <w:r>
        <w:t xml:space="preserve">Для обучения модели был использован набор </w:t>
      </w:r>
      <w:proofErr w:type="spellStart"/>
      <w:r w:rsidRPr="00221864">
        <w:t>деперсонализированных</w:t>
      </w:r>
      <w:proofErr w:type="spellEnd"/>
      <w:r w:rsidRPr="00221864">
        <w:t xml:space="preserve"> </w:t>
      </w:r>
      <w:r>
        <w:t xml:space="preserve">данных пациентов с острым коронарным синдромом (ОКС), поступивших в </w:t>
      </w:r>
      <w:r w:rsidRPr="00221864">
        <w:t>ФГБУ «НМИЦ им. В. А. Алмазова» Минздрава России</w:t>
      </w:r>
      <w:r>
        <w:t xml:space="preserve"> с 2010 по 2015 год. В </w:t>
      </w:r>
      <w:r w:rsidR="00983CFF">
        <w:t>2682</w:t>
      </w:r>
      <w:r>
        <w:t xml:space="preserve"> МЭК есть анамнез болезни. 897 анамнезов были размечены </w:t>
      </w:r>
      <w:r w:rsidR="008D38FB">
        <w:t>вручную</w:t>
      </w:r>
      <w:r>
        <w:t xml:space="preserve"> и с помощью ключевых фраз для дальнейшего обучения модели. Примеры ключевых фраз: «</w:t>
      </w:r>
      <w:r w:rsidRPr="00221864">
        <w:t>перенес инфаркт миокарда</w:t>
      </w:r>
      <w:r>
        <w:t>», «</w:t>
      </w:r>
      <w:r w:rsidRPr="00221864">
        <w:t>признаки ишемии миокарда</w:t>
      </w:r>
      <w:r>
        <w:t>», «</w:t>
      </w:r>
      <w:r w:rsidRPr="00221864">
        <w:t>выставлен диагноз не Q-ИМ</w:t>
      </w:r>
      <w:r>
        <w:t>»</w:t>
      </w:r>
      <w:r w:rsidR="008D38FB">
        <w:t xml:space="preserve"> – указывают на наличие ОИМ, «и</w:t>
      </w:r>
      <w:r w:rsidR="008D38FB" w:rsidRPr="008D38FB">
        <w:t>нфаркт миокарда: отрицает</w:t>
      </w:r>
      <w:r w:rsidR="008D38FB">
        <w:t>», «</w:t>
      </w:r>
      <w:r w:rsidR="008D38FB" w:rsidRPr="008D38FB">
        <w:t>ОИМ в анамнезе отрицает</w:t>
      </w:r>
      <w:r w:rsidR="008D38FB">
        <w:t xml:space="preserve">» - указывают на отсутствие ОИМ. Итак, в 701 анамнезе есть ОИМ, в 163 анамнезах пациент отрицает, и в 33 анамнезах информация об ОИМ отсутствует. В </w:t>
      </w:r>
      <w:r w:rsidR="00C75971">
        <w:t>1787</w:t>
      </w:r>
      <w:r w:rsidR="008D38FB">
        <w:t xml:space="preserve"> анамнезах построенная модель должна автоматически обнаружить упоминание об ОИМ.</w:t>
      </w:r>
    </w:p>
    <w:p w14:paraId="32BB8B53" w14:textId="5FDCCB16" w:rsidR="005C77B3" w:rsidRDefault="008D38FB" w:rsidP="00CD3CA0">
      <w:r>
        <w:t xml:space="preserve">Перед обучением модели текст анамнеза был обработан: приведен к нижнему регистру, удалены все небуквенные символы, нормализован – все слова приведены к начальной форме: существительные в именительный падеж, глаголы в форму инфинитива и т. д. Далее на основе этих слов была составлена </w:t>
      </w:r>
      <w:r w:rsidR="00BB578F">
        <w:t xml:space="preserve">модель теска </w:t>
      </w:r>
      <w:r w:rsidR="00BB578F">
        <w:rPr>
          <w:lang w:val="en-US"/>
        </w:rPr>
        <w:t>Bag</w:t>
      </w:r>
      <w:r w:rsidR="00BB578F" w:rsidRPr="00BB578F">
        <w:t>-</w:t>
      </w:r>
      <w:r w:rsidR="00BB578F">
        <w:rPr>
          <w:lang w:val="en-US"/>
        </w:rPr>
        <w:t>of</w:t>
      </w:r>
      <w:r w:rsidR="00BB578F" w:rsidRPr="00BB578F">
        <w:t>-</w:t>
      </w:r>
      <w:r w:rsidR="00BB578F">
        <w:rPr>
          <w:lang w:val="en-US"/>
        </w:rPr>
        <w:t>words</w:t>
      </w:r>
      <w:r w:rsidR="00BB578F" w:rsidRPr="00BB578F">
        <w:t xml:space="preserve">, </w:t>
      </w:r>
      <w:r w:rsidR="00BB578F">
        <w:t xml:space="preserve">которая </w:t>
      </w:r>
      <w:r w:rsidR="00C75971">
        <w:t>каждому тексту ставит в соответствие вектор</w:t>
      </w:r>
      <w:r w:rsidR="00BB578F">
        <w:t>, размерность котор</w:t>
      </w:r>
      <w:r w:rsidR="00C75971">
        <w:t>ого</w:t>
      </w:r>
      <w:r w:rsidR="00BB578F">
        <w:t xml:space="preserve"> определяется числом уникальных слов и словосочетаний во всех текстах, а значение компонент вектора – наличием или отсутствием уникальных слова или фразы в каждом конкретном тексте. </w:t>
      </w:r>
      <w:r w:rsidR="00EC36F6">
        <w:t>Далее к набор</w:t>
      </w:r>
      <w:r w:rsidR="00C75971">
        <w:t>у</w:t>
      </w:r>
      <w:r w:rsidR="00EC36F6">
        <w:t xml:space="preserve"> </w:t>
      </w:r>
      <w:r w:rsidR="00EC36F6">
        <w:lastRenderedPageBreak/>
        <w:t xml:space="preserve">векторов применяется преобразование </w:t>
      </w:r>
      <w:r w:rsidR="00EC36F6" w:rsidRPr="00EC36F6">
        <w:t>TF-IDF</w:t>
      </w:r>
      <w:r w:rsidR="00EC36F6">
        <w:t>, которое позволяет увеличить вес тех слов, которые встречают</w:t>
      </w:r>
      <w:r w:rsidR="00B60249">
        <w:t>ся</w:t>
      </w:r>
      <w:r w:rsidR="00EC36F6">
        <w:t xml:space="preserve"> в большинстве документов, но редко (скорее всего, это термины), и уменьшит</w:t>
      </w:r>
      <w:r w:rsidR="00B60249">
        <w:t>ь</w:t>
      </w:r>
      <w:r w:rsidR="00EC36F6">
        <w:t xml:space="preserve"> веса слов, которые встречаются часто и в каждом документе (скорее всего, это слова</w:t>
      </w:r>
      <w:r w:rsidR="0095308F" w:rsidRPr="0095308F">
        <w:t>-</w:t>
      </w:r>
      <w:r w:rsidR="00EC36F6">
        <w:t xml:space="preserve">пустышки – союзы, местоимения и т.п.) </w:t>
      </w:r>
      <w:r w:rsidR="0095308F">
        <w:fldChar w:fldCharType="begin" w:fldLock="1"/>
      </w:r>
      <w:r w:rsidR="00C30C93">
        <w:instrText>ADDIN CSL_CITATION {"citationItems":[{"id":"ITEM-1","itemData":{"DOI":"10.1108/eb026526","ISBN":"1365-313X","ISSN":"00220418","PMID":"25302566","abstract":"The exhaustivity of document descriptions and the specificity of index terms are usually regarded as independent. It is suggested that specificity should be interpreted statistically, as a function of term use rather than of term meaning. The effects on retrieval of variations in term specificity are examined, experiments with three test collections showing, in particular, that frequently-occurring terms are required for good overall performance. It is argued that terms should be weighted according to collection frequency, so that matches on less frequent, more specific, terms are of greater value than matches on frequent terms. Results for the test collections show that considerable improvements in performance are obtained with this very simple procedure. Exhaustivity and specificity We are familiar with the notions of exhaustivity and specificity: exhaustivity is a property of index descriptions, and specificity one of index terms. They are most clearly illustrated by a simple keyword or descriptor system. In this case the exhaustivity of a document description is the coverage of its various topics given by the terms assigned to it; and the specificity of an individual term is the level of detail at which a given concept is represented. These features of a document retrieval system have been discussed by Cleverdon et al. (1966) and Lancaster (1968), for example, and the effects of variation in either have been noted. For instance, if the exhaustivity of a document description is increased by the assignment of more terms, when the number of terms in the indexing vocabulary is constant, the chance of the document matching a request is increased. The idea of an optimum level of indexing exhaustivity for a given document collection then follows: the average number of descriptors per document should be adjusted so that, hopefully, the chances of requests matching relevant documents are maximized, while too many false drops are avoided. Exhaustivity obviously applies to requests too, and one function of a search strategy is to vary request exhaustivity. I will be mainly concerned here, however, with document descriptions.","author":[{"dropping-particle":"","family":"Jones","given":"Karen Sparck","non-dropping-particle":"","parse-names":false,"suffix":""}],"container-title":"Journal of Documentation","id":"ITEM-1","issue":"1","issued":{"date-parts":[["1972"]]},"page":"11-21","title":"A statistical interpretation of term specificity and its application in retrieval","type":"article-journal","volume":"28"},"uris":["http://www.mendeley.com/documents/?uuid=c6d55c49-070a-449d-a83f-ed76af53dea1"]}],"mendeley":{"formattedCitation":"[1]","plainTextFormattedCitation":"[1]","previouslyFormattedCitation":"[1]"},"properties":{"noteIndex":0},"schema":"https://github.com/citation-style-language/schema/raw/master/csl-citation.json"}</w:instrText>
      </w:r>
      <w:r w:rsidR="0095308F">
        <w:fldChar w:fldCharType="separate"/>
      </w:r>
      <w:r w:rsidR="0095308F" w:rsidRPr="0095308F">
        <w:rPr>
          <w:noProof/>
        </w:rPr>
        <w:t>[1]</w:t>
      </w:r>
      <w:r w:rsidR="0095308F">
        <w:fldChar w:fldCharType="end"/>
      </w:r>
      <w:r w:rsidR="0095308F" w:rsidRPr="0095308F">
        <w:t>.</w:t>
      </w:r>
      <w:r w:rsidR="005C77B3" w:rsidRPr="005C77B3">
        <w:t xml:space="preserve"> </w:t>
      </w:r>
      <w:r w:rsidR="005C77B3" w:rsidRPr="00EC36F6">
        <w:t>TF-IDF</w:t>
      </w:r>
      <w:r w:rsidR="005C77B3" w:rsidRPr="005C77B3">
        <w:t xml:space="preserve"> </w:t>
      </w:r>
      <w:r w:rsidR="005C77B3">
        <w:t>преобразование выполняется по следующим формулам:</w:t>
      </w:r>
      <w:r w:rsidR="0095308F" w:rsidRPr="00B60249">
        <w:t xml:space="preserve"> </w:t>
      </w:r>
    </w:p>
    <w:p w14:paraId="34680653" w14:textId="6F87F591" w:rsidR="005C77B3" w:rsidRPr="005C77B3" w:rsidRDefault="005C77B3" w:rsidP="005C77B3">
      <w:pPr>
        <w:jc w:val="center"/>
        <w:rPr>
          <w:rFonts w:eastAsiaTheme="minorEastAsia"/>
        </w:rPr>
      </w:pPr>
      <m:oMathPara>
        <m:oMath>
          <m:r>
            <w:rPr>
              <w:rFonts w:ascii="Cambria Math" w:hAnsi="Cambria Math"/>
            </w:rPr>
            <m:t>tf</m:t>
          </m:r>
          <m:d>
            <m:dPr>
              <m:ctrlPr>
                <w:rPr>
                  <w:rFonts w:ascii="Cambria Math" w:hAnsi="Cambria Math"/>
                  <w:i/>
                </w:rPr>
              </m:ctrlPr>
            </m:dPr>
            <m:e>
              <m:r>
                <w:rPr>
                  <w:rFonts w:ascii="Cambria Math" w:hAnsi="Cambria Math"/>
                </w:rPr>
                <m:t>t, d</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m:t>
                  </m:r>
                </m:sub>
              </m:sSub>
            </m:num>
            <m:den>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n</m:t>
                      </m:r>
                    </m:e>
                    <m:sub>
                      <m:r>
                        <w:rPr>
                          <w:rFonts w:ascii="Cambria Math" w:hAnsi="Cambria Math"/>
                        </w:rPr>
                        <m:t>k</m:t>
                      </m:r>
                    </m:sub>
                  </m:sSub>
                </m:e>
              </m:nary>
            </m:den>
          </m:f>
          <m:r>
            <w:rPr>
              <w:rFonts w:ascii="Cambria Math" w:hAnsi="Cambria Math"/>
            </w:rPr>
            <m:t>,</m:t>
          </m:r>
        </m:oMath>
      </m:oMathPara>
    </w:p>
    <w:p w14:paraId="4DE49C1C" w14:textId="6602E051" w:rsidR="005C77B3" w:rsidRPr="005C77B3" w:rsidRDefault="005C77B3" w:rsidP="005C77B3">
      <w:pPr>
        <w:jc w:val="center"/>
        <w:rPr>
          <w:rFonts w:eastAsiaTheme="minorEastAsia"/>
          <w:lang w:val="en-US"/>
        </w:rPr>
      </w:pPr>
      <m:oMathPara>
        <m:oMath>
          <m:r>
            <w:rPr>
              <w:rFonts w:ascii="Cambria Math" w:eastAsiaTheme="minorEastAsia" w:hAnsi="Cambria Math"/>
              <w:lang w:val="en-US"/>
            </w:rPr>
            <m:t>idf</m:t>
          </m:r>
          <m:d>
            <m:dPr>
              <m:ctrlPr>
                <w:rPr>
                  <w:rFonts w:ascii="Cambria Math" w:eastAsiaTheme="minorEastAsia" w:hAnsi="Cambria Math"/>
                  <w:i/>
                  <w:lang w:val="en-US"/>
                </w:rPr>
              </m:ctrlPr>
            </m:dPr>
            <m:e>
              <m:r>
                <w:rPr>
                  <w:rFonts w:ascii="Cambria Math" w:eastAsiaTheme="minorEastAsia" w:hAnsi="Cambria Math"/>
                  <w:lang w:val="en-US"/>
                </w:rPr>
                <m:t>t, D</m:t>
              </m:r>
            </m:e>
          </m:d>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hAnsi="Cambria Math"/>
                  <w:lang w:val="en-US"/>
                </w:rPr>
                <m:t>log</m:t>
              </m:r>
            </m:fName>
            <m:e>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i</m:t>
                      </m:r>
                    </m:sub>
                  </m:sSub>
                  <m:r>
                    <w:rPr>
                      <w:rFonts w:ascii="Cambria Math" w:eastAsiaTheme="minorEastAsia" w:hAnsi="Cambria Math"/>
                      <w:lang w:val="en-US"/>
                    </w:rPr>
                    <m:t>∈D|t∈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i</m:t>
                      </m:r>
                    </m:sub>
                  </m:sSub>
                  <m:r>
                    <w:rPr>
                      <w:rFonts w:ascii="Cambria Math" w:eastAsiaTheme="minorEastAsia" w:hAnsi="Cambria Math"/>
                      <w:lang w:val="en-US"/>
                    </w:rPr>
                    <m:t>}|</m:t>
                  </m:r>
                </m:den>
              </m:f>
            </m:e>
          </m:func>
          <m:r>
            <w:rPr>
              <w:rFonts w:ascii="Cambria Math" w:eastAsiaTheme="minorEastAsia" w:hAnsi="Cambria Math"/>
              <w:lang w:val="en-US"/>
            </w:rPr>
            <m:t>,</m:t>
          </m:r>
        </m:oMath>
      </m:oMathPara>
    </w:p>
    <w:p w14:paraId="176468A8" w14:textId="162F6768" w:rsidR="005C77B3" w:rsidRPr="005C77B3" w:rsidRDefault="005C77B3" w:rsidP="005C77B3">
      <w:pPr>
        <w:jc w:val="center"/>
        <w:rPr>
          <w:rFonts w:eastAsiaTheme="minorEastAsia"/>
          <w:lang w:val="en-US"/>
        </w:rPr>
      </w:pPr>
      <m:oMathPara>
        <m:oMath>
          <m:r>
            <w:rPr>
              <w:rFonts w:ascii="Cambria Math" w:eastAsiaTheme="minorEastAsia" w:hAnsi="Cambria Math"/>
              <w:lang w:val="en-US"/>
            </w:rPr>
            <m:t>tf_idf(t,d,D)=tf(t,d)×idf(t,D),</m:t>
          </m:r>
        </m:oMath>
      </m:oMathPara>
    </w:p>
    <w:p w14:paraId="541F5EDE" w14:textId="0A64F05E" w:rsidR="008D38FB" w:rsidRDefault="005C77B3" w:rsidP="002E374A">
      <w:pPr>
        <w:jc w:val="left"/>
      </w:pPr>
      <w:r>
        <w:rPr>
          <w:rFonts w:eastAsiaTheme="minorEastAsia"/>
        </w:rPr>
        <w:t xml:space="preserve">где </w:t>
      </w:r>
      <w:r w:rsidRPr="002E374A">
        <w:rPr>
          <w:rFonts w:eastAsiaTheme="minorEastAsia"/>
          <w:i/>
          <w:lang w:val="en-US"/>
        </w:rPr>
        <w:t>t</w:t>
      </w:r>
      <w:r w:rsidRPr="005C77B3">
        <w:rPr>
          <w:rFonts w:eastAsiaTheme="minorEastAsia"/>
        </w:rPr>
        <w:t xml:space="preserve"> – </w:t>
      </w:r>
      <w:r>
        <w:rPr>
          <w:rFonts w:eastAsiaTheme="minorEastAsia"/>
        </w:rPr>
        <w:t xml:space="preserve">набор слов, </w:t>
      </w:r>
      <w:r w:rsidRPr="002E374A">
        <w:rPr>
          <w:rFonts w:eastAsiaTheme="minorEastAsia"/>
          <w:i/>
          <w:lang w:val="en-US"/>
        </w:rPr>
        <w:t>d</w:t>
      </w:r>
      <w:r w:rsidRPr="005C77B3">
        <w:rPr>
          <w:rFonts w:eastAsiaTheme="minorEastAsia"/>
        </w:rPr>
        <w:t xml:space="preserve"> </w:t>
      </w:r>
      <w:r w:rsidR="002E374A">
        <w:rPr>
          <w:rFonts w:eastAsiaTheme="minorEastAsia"/>
        </w:rPr>
        <w:t>–</w:t>
      </w:r>
      <w:r w:rsidRPr="005C77B3">
        <w:rPr>
          <w:rFonts w:eastAsiaTheme="minorEastAsia"/>
        </w:rPr>
        <w:t xml:space="preserve"> </w:t>
      </w:r>
      <w:r w:rsidR="002E374A">
        <w:rPr>
          <w:rFonts w:eastAsiaTheme="minorEastAsia"/>
        </w:rPr>
        <w:t xml:space="preserve">один документ, </w:t>
      </w:r>
      <w:proofErr w:type="spellStart"/>
      <w:r w:rsidR="002E374A" w:rsidRPr="002E374A">
        <w:rPr>
          <w:rFonts w:eastAsiaTheme="minorEastAsia"/>
          <w:i/>
          <w:lang w:val="en-US"/>
        </w:rPr>
        <w:t>n</w:t>
      </w:r>
      <w:r w:rsidR="002E374A" w:rsidRPr="002E374A">
        <w:rPr>
          <w:rFonts w:eastAsiaTheme="minorEastAsia"/>
          <w:i/>
          <w:vertAlign w:val="subscript"/>
          <w:lang w:val="en-US"/>
        </w:rPr>
        <w:t>t</w:t>
      </w:r>
      <w:proofErr w:type="spellEnd"/>
      <w:r w:rsidR="002E374A" w:rsidRPr="002E374A">
        <w:rPr>
          <w:rFonts w:eastAsiaTheme="minorEastAsia"/>
        </w:rPr>
        <w:t xml:space="preserve"> </w:t>
      </w:r>
      <w:r w:rsidR="002E374A">
        <w:rPr>
          <w:rFonts w:eastAsiaTheme="minorEastAsia"/>
        </w:rPr>
        <w:t>–</w:t>
      </w:r>
      <w:bookmarkStart w:id="0" w:name="_GoBack"/>
      <w:bookmarkEnd w:id="0"/>
      <w:r w:rsidR="002E374A" w:rsidRPr="002E374A">
        <w:rPr>
          <w:rFonts w:eastAsiaTheme="minorEastAsia"/>
        </w:rPr>
        <w:t xml:space="preserve"> число вхождений </w:t>
      </w:r>
      <w:r w:rsidR="002E374A">
        <w:rPr>
          <w:rFonts w:eastAsiaTheme="minorEastAsia"/>
        </w:rPr>
        <w:t>конкретного</w:t>
      </w:r>
      <w:r w:rsidR="002E374A" w:rsidRPr="002E374A">
        <w:rPr>
          <w:rFonts w:eastAsiaTheme="minorEastAsia"/>
        </w:rPr>
        <w:t xml:space="preserve"> слова t в документ</w:t>
      </w:r>
      <w:r w:rsidR="002E374A">
        <w:rPr>
          <w:rFonts w:eastAsiaTheme="minorEastAsia"/>
        </w:rPr>
        <w:t xml:space="preserve">, </w:t>
      </w:r>
      <m:oMath>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n</m:t>
                </m:r>
              </m:e>
              <m:sub>
                <m:r>
                  <w:rPr>
                    <w:rFonts w:ascii="Cambria Math" w:hAnsi="Cambria Math"/>
                  </w:rPr>
                  <m:t>k</m:t>
                </m:r>
              </m:sub>
            </m:sSub>
          </m:e>
        </m:nary>
      </m:oMath>
      <w:r w:rsidR="002E374A">
        <w:rPr>
          <w:rFonts w:eastAsiaTheme="minorEastAsia"/>
        </w:rPr>
        <w:t xml:space="preserve"> – общее число слов в документе, </w:t>
      </w:r>
      <w:r w:rsidR="002E374A" w:rsidRPr="002E374A">
        <w:rPr>
          <w:rFonts w:eastAsiaTheme="minorEastAsia"/>
          <w:i/>
        </w:rPr>
        <w:t>|</w:t>
      </w:r>
      <w:r w:rsidR="002E374A" w:rsidRPr="002E374A">
        <w:rPr>
          <w:rFonts w:eastAsiaTheme="minorEastAsia"/>
          <w:i/>
          <w:lang w:val="en-US"/>
        </w:rPr>
        <w:t>D</w:t>
      </w:r>
      <w:r w:rsidR="002E374A" w:rsidRPr="002E374A">
        <w:rPr>
          <w:rFonts w:eastAsiaTheme="minorEastAsia"/>
          <w:i/>
        </w:rPr>
        <w:t>|</w:t>
      </w:r>
      <w:r w:rsidR="002E374A" w:rsidRPr="002E374A">
        <w:rPr>
          <w:rFonts w:eastAsiaTheme="minorEastAsia"/>
        </w:rPr>
        <w:t xml:space="preserve"> – число документов в коллекции, </w:t>
      </w:r>
      <m:oMath>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i</m:t>
            </m:r>
          </m:sub>
        </m:sSub>
        <m:r>
          <w:rPr>
            <w:rFonts w:ascii="Cambria Math" w:eastAsiaTheme="minorEastAsia" w:hAnsi="Cambria Math"/>
          </w:rPr>
          <m:t>∈</m:t>
        </m:r>
        <m:r>
          <w:rPr>
            <w:rFonts w:ascii="Cambria Math" w:eastAsiaTheme="minorEastAsia" w:hAnsi="Cambria Math"/>
            <w:lang w:val="en-US"/>
          </w:rPr>
          <m:t>D</m:t>
        </m:r>
        <m:r>
          <w:rPr>
            <w:rFonts w:ascii="Cambria Math" w:eastAsiaTheme="minorEastAsia" w:hAnsi="Cambria Math"/>
          </w:rPr>
          <m:t>|</m:t>
        </m:r>
        <m:r>
          <w:rPr>
            <w:rFonts w:ascii="Cambria Math" w:eastAsiaTheme="minorEastAsia" w:hAnsi="Cambria Math"/>
            <w:lang w:val="en-US"/>
          </w:rPr>
          <m:t>t</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i</m:t>
            </m:r>
          </m:sub>
        </m:sSub>
        <m:r>
          <w:rPr>
            <w:rFonts w:ascii="Cambria Math" w:eastAsiaTheme="minorEastAsia" w:hAnsi="Cambria Math"/>
          </w:rPr>
          <m:t>}|</m:t>
        </m:r>
      </m:oMath>
      <w:r w:rsidR="002E374A" w:rsidRPr="002E374A">
        <w:rPr>
          <w:rFonts w:eastAsiaTheme="minorEastAsia"/>
        </w:rPr>
        <w:t xml:space="preserve"> – число документов из коллекции D,</w:t>
      </w:r>
      <w:proofErr w:type="spellStart"/>
      <w:r w:rsidR="002E374A" w:rsidRPr="002E374A">
        <w:rPr>
          <w:rFonts w:eastAsiaTheme="minorEastAsia"/>
        </w:rPr>
        <w:t xml:space="preserve"> </w:t>
      </w:r>
      <w:proofErr w:type="spellEnd"/>
      <w:r w:rsidR="002E374A" w:rsidRPr="002E374A">
        <w:rPr>
          <w:rFonts w:eastAsiaTheme="minorEastAsia"/>
        </w:rPr>
        <w:t xml:space="preserve">в которых встречается </w:t>
      </w:r>
      <w:r w:rsidR="002E374A">
        <w:rPr>
          <w:rFonts w:eastAsiaTheme="minorEastAsia"/>
        </w:rPr>
        <w:t xml:space="preserve">конкретное слово </w:t>
      </w:r>
      <w:r w:rsidR="002E374A" w:rsidRPr="002E374A">
        <w:rPr>
          <w:rFonts w:eastAsiaTheme="minorEastAsia"/>
        </w:rPr>
        <w:t>t</w:t>
      </w:r>
      <w:r w:rsidR="002E374A">
        <w:rPr>
          <w:rFonts w:eastAsiaTheme="minorEastAsia"/>
        </w:rPr>
        <w:t xml:space="preserve">. В контексте данной задачи документы – это анамнезы. </w:t>
      </w:r>
      <w:r w:rsidR="00B60249">
        <w:t>Полученный набор векторов</w:t>
      </w:r>
      <w:r w:rsidR="002E374A">
        <w:t xml:space="preserve"> после преобразования</w:t>
      </w:r>
      <w:r w:rsidR="00561F63">
        <w:t xml:space="preserve"> </w:t>
      </w:r>
      <w:r w:rsidR="0075614B">
        <w:t>дел</w:t>
      </w:r>
      <w:r w:rsidR="00B60249">
        <w:t>и</w:t>
      </w:r>
      <w:r w:rsidR="0075614B">
        <w:t xml:space="preserve">тся на </w:t>
      </w:r>
      <w:r w:rsidR="00370848">
        <w:t xml:space="preserve">тренировочное, </w:t>
      </w:r>
      <w:proofErr w:type="spellStart"/>
      <w:r w:rsidR="00370848">
        <w:t>валидационное</w:t>
      </w:r>
      <w:proofErr w:type="spellEnd"/>
      <w:r w:rsidR="00370848">
        <w:t xml:space="preserve"> и тестовое множества. </w:t>
      </w:r>
    </w:p>
    <w:p w14:paraId="466AA0F2" w14:textId="69D7FC46" w:rsidR="00370848" w:rsidRDefault="00975666" w:rsidP="00CD3CA0">
      <w:r>
        <w:t>Необходимо распознать три класса: «-1» – пациент отрицает ОИМ, «0» – информация об ОИМ отсутствует, «1» – есть ОИМ в анамнезе.</w:t>
      </w:r>
      <w:r w:rsidR="00C30C93">
        <w:t xml:space="preserve"> Классы сильно </w:t>
      </w:r>
      <w:r w:rsidR="00B60249">
        <w:t>неуравновешенные</w:t>
      </w:r>
      <w:r w:rsidR="00C30C93">
        <w:t xml:space="preserve">, </w:t>
      </w:r>
      <w:r w:rsidR="00B60249">
        <w:t>поэтому</w:t>
      </w:r>
      <w:r w:rsidR="00C30C93">
        <w:t xml:space="preserve"> перед обучением модели используется алгоритм </w:t>
      </w:r>
      <w:r w:rsidR="00C30C93">
        <w:rPr>
          <w:lang w:val="en-US"/>
        </w:rPr>
        <w:t>SMOTE</w:t>
      </w:r>
      <w:r w:rsidR="00B60249">
        <w:t xml:space="preserve"> для</w:t>
      </w:r>
      <w:r w:rsidR="00C30C93">
        <w:t xml:space="preserve"> генерации дополнительных объектов</w:t>
      </w:r>
      <w:r w:rsidR="00B60249">
        <w:t xml:space="preserve">, чтобы </w:t>
      </w:r>
      <w:r w:rsidR="00C30C93" w:rsidRPr="00C30C93">
        <w:t>увелич</w:t>
      </w:r>
      <w:r w:rsidR="00B60249">
        <w:t>ить</w:t>
      </w:r>
      <w:r w:rsidR="00C30C93" w:rsidRPr="00C30C93">
        <w:t xml:space="preserve"> меньш</w:t>
      </w:r>
      <w:r w:rsidR="00C30C93">
        <w:t>и</w:t>
      </w:r>
      <w:r w:rsidR="00B60249">
        <w:t xml:space="preserve">е по размеру </w:t>
      </w:r>
      <w:r w:rsidR="00C30C93" w:rsidRPr="00C30C93">
        <w:t>класс</w:t>
      </w:r>
      <w:r w:rsidR="00B60249">
        <w:t>ы</w:t>
      </w:r>
      <w:r w:rsidR="00C30C93">
        <w:t xml:space="preserve"> </w:t>
      </w:r>
      <w:r w:rsidR="00C30C93">
        <w:fldChar w:fldCharType="begin" w:fldLock="1"/>
      </w:r>
      <w:r w:rsidR="00C30C93">
        <w:instrText>ADDIN CSL_CITATION {"citationItems":[{"id":"ITEM-1","itemData":{"author":[{"dropping-particle":"","family":"Chawla, Nitesh V and Bowyer, Kevin W and Hall, Lawrence O and Kegelmeyer","given":"W Philip","non-dropping-particle":"","parse-names":false,"suffix":""}],"container-title":"Journal of artificial intelligence research","id":"ITEM-1","issued":{"date-parts":[["2002"]]},"page":"321-357","title":"SMOTE: Synthetic Minority Over-sampling Technique","type":"article-journal","volume":"16"},"uris":["http://www.mendeley.com/documents/?uuid=9ffe3ac0-ff74-4430-8cf7-f4da2250af09"]}],"mendeley":{"formattedCitation":"[2]","plainTextFormattedCitation":"[2]"},"properties":{"noteIndex":0},"schema":"https://github.com/citation-style-language/schema/raw/master/csl-citation.json"}</w:instrText>
      </w:r>
      <w:r w:rsidR="00C30C93">
        <w:fldChar w:fldCharType="separate"/>
      </w:r>
      <w:r w:rsidR="00C30C93" w:rsidRPr="00C30C93">
        <w:rPr>
          <w:noProof/>
        </w:rPr>
        <w:t>[2]</w:t>
      </w:r>
      <w:r w:rsidR="00C30C93">
        <w:fldChar w:fldCharType="end"/>
      </w:r>
      <w:r w:rsidR="00C30C93">
        <w:t>.</w:t>
      </w:r>
      <w:r>
        <w:t xml:space="preserve"> </w:t>
      </w:r>
      <w:r w:rsidR="00C30C93">
        <w:t xml:space="preserve">Для решения </w:t>
      </w:r>
      <w:r>
        <w:t>задач</w:t>
      </w:r>
      <w:r w:rsidR="00C30C93">
        <w:t>и</w:t>
      </w:r>
      <w:r>
        <w:t xml:space="preserve"> </w:t>
      </w:r>
      <w:proofErr w:type="spellStart"/>
      <w:r>
        <w:t>многоклассовой</w:t>
      </w:r>
      <w:proofErr w:type="spellEnd"/>
      <w:r>
        <w:t xml:space="preserve"> классификации</w:t>
      </w:r>
      <w:r w:rsidR="00370848">
        <w:t xml:space="preserve"> </w:t>
      </w:r>
      <w:r>
        <w:t>используется</w:t>
      </w:r>
      <w:r w:rsidR="00370848">
        <w:t xml:space="preserve"> </w:t>
      </w:r>
      <w:proofErr w:type="spellStart"/>
      <w:r w:rsidR="00370848">
        <w:t>бустинг</w:t>
      </w:r>
      <w:proofErr w:type="spellEnd"/>
      <w:r w:rsidR="00370848">
        <w:t xml:space="preserve">-модель над решающими деревьями. С помощью перебора по сетке и кросс-валидации </w:t>
      </w:r>
      <w:r>
        <w:t>определяются</w:t>
      </w:r>
      <w:r w:rsidR="00370848">
        <w:t xml:space="preserve"> значения внешних параметров модели. На тренировочном множестве модель показала точность 99%, на тестовом множестве – 93 %. </w:t>
      </w:r>
    </w:p>
    <w:p w14:paraId="17A9D917" w14:textId="0293919D" w:rsidR="00975666" w:rsidRDefault="00975666" w:rsidP="00CD3CA0">
      <w:r>
        <w:t>В Таблице 1 представлены слова и словосочетания, которые в наибольшей степени повлияли на определение класса</w:t>
      </w:r>
      <w:r w:rsidR="00C30C93">
        <w:t xml:space="preserve"> классификатором. Так как примеров в пользу ОИМ больше всего, характерных слов и фраз алгоритм больше всего нашёл для наличия ОИМ. </w:t>
      </w:r>
      <w:proofErr w:type="gramStart"/>
      <w:r w:rsidR="00C30C93">
        <w:t xml:space="preserve">По значимым словам </w:t>
      </w:r>
      <w:proofErr w:type="gramEnd"/>
      <w:r w:rsidR="00C30C93">
        <w:t xml:space="preserve">и фразам легко понять, как врачи чаще всего описывают острое состояние, какие есть сопутствующие </w:t>
      </w:r>
      <w:r w:rsidR="00B60249">
        <w:t>патологии</w:t>
      </w:r>
      <w:r w:rsidR="00C30C93">
        <w:t xml:space="preserve"> (ИБС), какие типы ОИМ бывают (передний, задний), и даже как лечат (</w:t>
      </w:r>
      <w:proofErr w:type="spellStart"/>
      <w:r w:rsidR="00C30C93">
        <w:t>стентирование</w:t>
      </w:r>
      <w:proofErr w:type="spellEnd"/>
      <w:r w:rsidR="00C30C93">
        <w:t xml:space="preserve"> и </w:t>
      </w:r>
      <w:r w:rsidR="00C30C93" w:rsidRPr="00D8327C">
        <w:t>анальгин</w:t>
      </w:r>
      <w:r w:rsidR="00C30C93">
        <w:t xml:space="preserve">, </w:t>
      </w:r>
      <w:proofErr w:type="spellStart"/>
      <w:r w:rsidR="00C30C93" w:rsidRPr="00D8327C">
        <w:t>трамадол</w:t>
      </w:r>
      <w:proofErr w:type="spellEnd"/>
      <w:r w:rsidR="00C30C93">
        <w:t>).</w:t>
      </w:r>
    </w:p>
    <w:p w14:paraId="43BD3D92" w14:textId="77777777" w:rsidR="00C30C93" w:rsidRDefault="00C30C93" w:rsidP="00CD3CA0"/>
    <w:p w14:paraId="751F6607" w14:textId="6E1F517E" w:rsidR="00C30C93" w:rsidRPr="00C30C93" w:rsidRDefault="00C30C93" w:rsidP="00C30C93">
      <w:pPr>
        <w:pStyle w:val="a4"/>
      </w:pPr>
      <w:r w:rsidRPr="00C30C93">
        <w:t xml:space="preserve">Таблица </w:t>
      </w:r>
      <w:r w:rsidRPr="00C30C93">
        <w:fldChar w:fldCharType="begin"/>
      </w:r>
      <w:r w:rsidRPr="007A6E41">
        <w:instrText xml:space="preserve"> SEQ Таблица \* ARABIC </w:instrText>
      </w:r>
      <w:r w:rsidRPr="00C30C93">
        <w:fldChar w:fldCharType="separate"/>
      </w:r>
      <w:r w:rsidR="007A6E41">
        <w:rPr>
          <w:noProof/>
        </w:rPr>
        <w:t>1</w:t>
      </w:r>
      <w:r w:rsidRPr="00C30C93">
        <w:fldChar w:fldCharType="end"/>
      </w:r>
      <w:r w:rsidRPr="00C30C93">
        <w:t xml:space="preserve"> –</w:t>
      </w:r>
      <w:r>
        <w:t xml:space="preserve"> 15 наиболее значимых слов и словосочетаний для определения ОИМ в тексте анамнеза</w:t>
      </w:r>
      <w:r w:rsidR="007A6E41">
        <w:t xml:space="preserve"> и классы, на которые эти слова указывают</w:t>
      </w:r>
    </w:p>
    <w:tbl>
      <w:tblPr>
        <w:tblStyle w:val="a3"/>
        <w:tblW w:w="9351" w:type="dxa"/>
        <w:tblLook w:val="04A0" w:firstRow="1" w:lastRow="0" w:firstColumn="1" w:lastColumn="0" w:noHBand="0" w:noVBand="1"/>
      </w:tblPr>
      <w:tblGrid>
        <w:gridCol w:w="2121"/>
        <w:gridCol w:w="2126"/>
        <w:gridCol w:w="858"/>
        <w:gridCol w:w="4246"/>
      </w:tblGrid>
      <w:tr w:rsidR="00D8327C" w:rsidRPr="00D8327C" w14:paraId="353E12BA" w14:textId="5F881393" w:rsidTr="00D8327C">
        <w:tc>
          <w:tcPr>
            <w:tcW w:w="2121" w:type="dxa"/>
          </w:tcPr>
          <w:p w14:paraId="420652D1" w14:textId="49768348" w:rsidR="00D8327C" w:rsidRPr="00D8327C" w:rsidRDefault="00D8327C" w:rsidP="00D8327C">
            <w:pPr>
              <w:spacing w:line="240" w:lineRule="auto"/>
              <w:rPr>
                <w:b/>
              </w:rPr>
            </w:pPr>
            <w:r w:rsidRPr="00D8327C">
              <w:rPr>
                <w:b/>
              </w:rPr>
              <w:t>Слово или фраза</w:t>
            </w:r>
          </w:p>
        </w:tc>
        <w:tc>
          <w:tcPr>
            <w:tcW w:w="2126" w:type="dxa"/>
          </w:tcPr>
          <w:p w14:paraId="07A3E2BD" w14:textId="790F6917" w:rsidR="00D8327C" w:rsidRPr="00D8327C" w:rsidRDefault="00D8327C" w:rsidP="00D8327C">
            <w:pPr>
              <w:spacing w:line="240" w:lineRule="auto"/>
              <w:rPr>
                <w:b/>
              </w:rPr>
            </w:pPr>
            <w:r w:rsidRPr="00D8327C">
              <w:rPr>
                <w:b/>
              </w:rPr>
              <w:t>Значимость для классификатора</w:t>
            </w:r>
          </w:p>
        </w:tc>
        <w:tc>
          <w:tcPr>
            <w:tcW w:w="858" w:type="dxa"/>
          </w:tcPr>
          <w:p w14:paraId="6F967BEA" w14:textId="4B6810C5" w:rsidR="00D8327C" w:rsidRPr="00D8327C" w:rsidRDefault="00D8327C" w:rsidP="00D8327C">
            <w:pPr>
              <w:spacing w:line="240" w:lineRule="auto"/>
              <w:rPr>
                <w:b/>
              </w:rPr>
            </w:pPr>
            <w:r>
              <w:rPr>
                <w:b/>
              </w:rPr>
              <w:t>Класс</w:t>
            </w:r>
          </w:p>
        </w:tc>
        <w:tc>
          <w:tcPr>
            <w:tcW w:w="4246" w:type="dxa"/>
          </w:tcPr>
          <w:p w14:paraId="0263CB3E" w14:textId="133EE9A8" w:rsidR="00D8327C" w:rsidRPr="00D8327C" w:rsidRDefault="00D8327C" w:rsidP="00D8327C">
            <w:pPr>
              <w:spacing w:line="240" w:lineRule="auto"/>
              <w:rPr>
                <w:b/>
              </w:rPr>
            </w:pPr>
            <w:r w:rsidRPr="00D8327C">
              <w:rPr>
                <w:b/>
              </w:rPr>
              <w:t>Комментарий</w:t>
            </w:r>
          </w:p>
        </w:tc>
      </w:tr>
      <w:tr w:rsidR="00D8327C" w:rsidRPr="00D8327C" w14:paraId="3BFC1FFD" w14:textId="4978BF06" w:rsidTr="00D8327C">
        <w:tc>
          <w:tcPr>
            <w:tcW w:w="2121" w:type="dxa"/>
          </w:tcPr>
          <w:p w14:paraId="2961278A" w14:textId="656E36A8" w:rsidR="00D8327C" w:rsidRPr="00D8327C" w:rsidRDefault="00D8327C" w:rsidP="00D8327C">
            <w:pPr>
              <w:spacing w:line="240" w:lineRule="auto"/>
            </w:pPr>
            <w:proofErr w:type="spellStart"/>
            <w:r w:rsidRPr="00D8327C">
              <w:t>оим</w:t>
            </w:r>
            <w:proofErr w:type="spellEnd"/>
          </w:p>
        </w:tc>
        <w:tc>
          <w:tcPr>
            <w:tcW w:w="2126" w:type="dxa"/>
          </w:tcPr>
          <w:p w14:paraId="0F3694EE" w14:textId="11B73369" w:rsidR="00D8327C" w:rsidRPr="00D8327C" w:rsidRDefault="00D8327C" w:rsidP="00D8327C">
            <w:pPr>
              <w:spacing w:line="240" w:lineRule="auto"/>
              <w:jc w:val="right"/>
            </w:pPr>
            <w:r w:rsidRPr="00D8327C">
              <w:t>0,052</w:t>
            </w:r>
          </w:p>
        </w:tc>
        <w:tc>
          <w:tcPr>
            <w:tcW w:w="858" w:type="dxa"/>
          </w:tcPr>
          <w:p w14:paraId="165D6818" w14:textId="0CFF07D5" w:rsidR="00D8327C" w:rsidRPr="00D8327C" w:rsidRDefault="00D8327C" w:rsidP="00D8327C">
            <w:pPr>
              <w:spacing w:line="240" w:lineRule="auto"/>
            </w:pPr>
            <w:r>
              <w:t>1</w:t>
            </w:r>
          </w:p>
        </w:tc>
        <w:tc>
          <w:tcPr>
            <w:tcW w:w="4246" w:type="dxa"/>
          </w:tcPr>
          <w:p w14:paraId="3845172F" w14:textId="7B1CAE73" w:rsidR="00D8327C" w:rsidRPr="00D8327C" w:rsidRDefault="00D8327C" w:rsidP="00D8327C">
            <w:pPr>
              <w:spacing w:line="240" w:lineRule="auto"/>
            </w:pPr>
            <w:r w:rsidRPr="00D8327C">
              <w:t>Аббревиатура: острый инфаркт миокарда</w:t>
            </w:r>
          </w:p>
        </w:tc>
      </w:tr>
      <w:tr w:rsidR="00D8327C" w:rsidRPr="00D8327C" w14:paraId="5FAD4004" w14:textId="4D9733ED" w:rsidTr="00D8327C">
        <w:tc>
          <w:tcPr>
            <w:tcW w:w="2121" w:type="dxa"/>
          </w:tcPr>
          <w:p w14:paraId="52640939" w14:textId="2A9665A6" w:rsidR="00D8327C" w:rsidRPr="00D8327C" w:rsidRDefault="00D8327C" w:rsidP="00D8327C">
            <w:pPr>
              <w:spacing w:line="240" w:lineRule="auto"/>
            </w:pPr>
            <w:proofErr w:type="spellStart"/>
            <w:r w:rsidRPr="00D8327C">
              <w:lastRenderedPageBreak/>
              <w:t>ибс</w:t>
            </w:r>
            <w:proofErr w:type="spellEnd"/>
            <w:r w:rsidRPr="00D8327C">
              <w:t xml:space="preserve"> </w:t>
            </w:r>
            <w:proofErr w:type="spellStart"/>
            <w:r w:rsidRPr="00D8327C">
              <w:t>оим</w:t>
            </w:r>
            <w:proofErr w:type="spellEnd"/>
          </w:p>
        </w:tc>
        <w:tc>
          <w:tcPr>
            <w:tcW w:w="2126" w:type="dxa"/>
          </w:tcPr>
          <w:p w14:paraId="62C2A127" w14:textId="3C3C0B00" w:rsidR="00D8327C" w:rsidRPr="00D8327C" w:rsidRDefault="00D8327C" w:rsidP="00D8327C">
            <w:pPr>
              <w:spacing w:line="240" w:lineRule="auto"/>
              <w:jc w:val="right"/>
            </w:pPr>
            <w:r w:rsidRPr="00D8327C">
              <w:t>0,042</w:t>
            </w:r>
          </w:p>
        </w:tc>
        <w:tc>
          <w:tcPr>
            <w:tcW w:w="858" w:type="dxa"/>
          </w:tcPr>
          <w:p w14:paraId="7752A040" w14:textId="2EDC2210" w:rsidR="00D8327C" w:rsidRPr="00D8327C" w:rsidRDefault="00D8327C" w:rsidP="00D8327C">
            <w:pPr>
              <w:spacing w:line="240" w:lineRule="auto"/>
            </w:pPr>
            <w:r>
              <w:t>1</w:t>
            </w:r>
          </w:p>
        </w:tc>
        <w:tc>
          <w:tcPr>
            <w:tcW w:w="4246" w:type="dxa"/>
          </w:tcPr>
          <w:p w14:paraId="3CAFDA5F" w14:textId="186F0D01" w:rsidR="00D8327C" w:rsidRPr="00D8327C" w:rsidRDefault="00D8327C" w:rsidP="00D8327C">
            <w:pPr>
              <w:spacing w:line="240" w:lineRule="auto"/>
            </w:pPr>
            <w:r w:rsidRPr="00D8327C">
              <w:t>Аббревиатуры: ишемическая болезнь сердца. ИБС включает в себя стенокардию, инфаркт миокарда и атеросклеротический кардиосклероз.</w:t>
            </w:r>
          </w:p>
        </w:tc>
      </w:tr>
      <w:tr w:rsidR="00D8327C" w:rsidRPr="00D8327C" w14:paraId="4499D4AB" w14:textId="41594F18" w:rsidTr="00D8327C">
        <w:tc>
          <w:tcPr>
            <w:tcW w:w="2121" w:type="dxa"/>
          </w:tcPr>
          <w:p w14:paraId="147DB40B" w14:textId="3041FE09" w:rsidR="00D8327C" w:rsidRPr="00D8327C" w:rsidRDefault="00D8327C" w:rsidP="00D8327C">
            <w:pPr>
              <w:spacing w:line="240" w:lineRule="auto"/>
            </w:pPr>
            <w:r w:rsidRPr="00D8327C">
              <w:t xml:space="preserve">представление </w:t>
            </w:r>
            <w:proofErr w:type="spellStart"/>
            <w:r w:rsidRPr="00D8327C">
              <w:t>ибс</w:t>
            </w:r>
            <w:proofErr w:type="spellEnd"/>
          </w:p>
        </w:tc>
        <w:tc>
          <w:tcPr>
            <w:tcW w:w="2126" w:type="dxa"/>
          </w:tcPr>
          <w:p w14:paraId="3570D4A0" w14:textId="667EE041" w:rsidR="00D8327C" w:rsidRPr="00D8327C" w:rsidRDefault="00D8327C" w:rsidP="00D8327C">
            <w:pPr>
              <w:spacing w:line="240" w:lineRule="auto"/>
              <w:jc w:val="right"/>
            </w:pPr>
            <w:r w:rsidRPr="00D8327C">
              <w:t>0,041</w:t>
            </w:r>
          </w:p>
        </w:tc>
        <w:tc>
          <w:tcPr>
            <w:tcW w:w="858" w:type="dxa"/>
          </w:tcPr>
          <w:p w14:paraId="58B79D2F" w14:textId="4E1395AE" w:rsidR="00D8327C" w:rsidRDefault="00D8327C" w:rsidP="00D8327C">
            <w:pPr>
              <w:spacing w:line="240" w:lineRule="auto"/>
            </w:pPr>
            <w:r>
              <w:t>1</w:t>
            </w:r>
          </w:p>
        </w:tc>
        <w:tc>
          <w:tcPr>
            <w:tcW w:w="4246" w:type="dxa"/>
          </w:tcPr>
          <w:p w14:paraId="1A3C2ABB" w14:textId="37DA9CA1" w:rsidR="00D8327C" w:rsidRPr="00D8327C" w:rsidRDefault="00D8327C" w:rsidP="00D8327C">
            <w:pPr>
              <w:spacing w:line="240" w:lineRule="auto"/>
            </w:pPr>
            <w:r>
              <w:t>Указывает на наличие ИБС</w:t>
            </w:r>
          </w:p>
        </w:tc>
      </w:tr>
      <w:tr w:rsidR="00D8327C" w:rsidRPr="00D8327C" w14:paraId="615EA280" w14:textId="114007B3" w:rsidTr="00D8327C">
        <w:tc>
          <w:tcPr>
            <w:tcW w:w="2121" w:type="dxa"/>
          </w:tcPr>
          <w:p w14:paraId="5C807617" w14:textId="0C6E84C9" w:rsidR="00D8327C" w:rsidRPr="00D8327C" w:rsidRDefault="00D8327C" w:rsidP="00D8327C">
            <w:pPr>
              <w:spacing w:line="240" w:lineRule="auto"/>
            </w:pPr>
            <w:r w:rsidRPr="00D8327C">
              <w:t>миокард отрицать</w:t>
            </w:r>
          </w:p>
        </w:tc>
        <w:tc>
          <w:tcPr>
            <w:tcW w:w="2126" w:type="dxa"/>
          </w:tcPr>
          <w:p w14:paraId="473F459E" w14:textId="60B677C9" w:rsidR="00D8327C" w:rsidRPr="00D8327C" w:rsidRDefault="00D8327C" w:rsidP="00D8327C">
            <w:pPr>
              <w:spacing w:line="240" w:lineRule="auto"/>
              <w:jc w:val="right"/>
            </w:pPr>
            <w:r w:rsidRPr="00D8327C">
              <w:t>0,041</w:t>
            </w:r>
          </w:p>
        </w:tc>
        <w:tc>
          <w:tcPr>
            <w:tcW w:w="858" w:type="dxa"/>
          </w:tcPr>
          <w:p w14:paraId="42EFB22B" w14:textId="2DAD8FCB" w:rsidR="00D8327C" w:rsidRDefault="00D8327C" w:rsidP="00D8327C">
            <w:pPr>
              <w:spacing w:line="240" w:lineRule="auto"/>
            </w:pPr>
            <w:r>
              <w:t>-1</w:t>
            </w:r>
          </w:p>
        </w:tc>
        <w:tc>
          <w:tcPr>
            <w:tcW w:w="4246" w:type="dxa"/>
          </w:tcPr>
          <w:p w14:paraId="6074279B" w14:textId="171605F8" w:rsidR="00D8327C" w:rsidRPr="00D8327C" w:rsidRDefault="00D8327C" w:rsidP="00D8327C">
            <w:pPr>
              <w:spacing w:line="240" w:lineRule="auto"/>
            </w:pPr>
            <w:r>
              <w:t xml:space="preserve">Пациент отрицает ОИМ </w:t>
            </w:r>
          </w:p>
        </w:tc>
      </w:tr>
      <w:tr w:rsidR="00D8327C" w:rsidRPr="00D8327C" w14:paraId="3E13C892" w14:textId="63204D62" w:rsidTr="00D8327C">
        <w:tc>
          <w:tcPr>
            <w:tcW w:w="2121" w:type="dxa"/>
          </w:tcPr>
          <w:p w14:paraId="068CFC1E" w14:textId="3510490A" w:rsidR="00D8327C" w:rsidRPr="00D8327C" w:rsidRDefault="00D8327C" w:rsidP="00D8327C">
            <w:pPr>
              <w:spacing w:line="240" w:lineRule="auto"/>
            </w:pPr>
            <w:r w:rsidRPr="00D8327C">
              <w:t>инфаркт</w:t>
            </w:r>
          </w:p>
        </w:tc>
        <w:tc>
          <w:tcPr>
            <w:tcW w:w="2126" w:type="dxa"/>
          </w:tcPr>
          <w:p w14:paraId="69B0C8C9" w14:textId="6801BBA0" w:rsidR="00D8327C" w:rsidRPr="00D8327C" w:rsidRDefault="00D8327C" w:rsidP="00D8327C">
            <w:pPr>
              <w:spacing w:line="240" w:lineRule="auto"/>
              <w:jc w:val="right"/>
            </w:pPr>
            <w:r w:rsidRPr="00D8327C">
              <w:t>0,039</w:t>
            </w:r>
          </w:p>
        </w:tc>
        <w:tc>
          <w:tcPr>
            <w:tcW w:w="858" w:type="dxa"/>
          </w:tcPr>
          <w:p w14:paraId="1E084243" w14:textId="32C457F7" w:rsidR="00D8327C" w:rsidRPr="00D8327C" w:rsidRDefault="00D8327C" w:rsidP="00D8327C">
            <w:pPr>
              <w:spacing w:line="240" w:lineRule="auto"/>
            </w:pPr>
            <w:r>
              <w:t>1</w:t>
            </w:r>
          </w:p>
        </w:tc>
        <w:tc>
          <w:tcPr>
            <w:tcW w:w="4246" w:type="dxa"/>
          </w:tcPr>
          <w:p w14:paraId="69458DE7" w14:textId="2511B11C" w:rsidR="00D8327C" w:rsidRPr="00D8327C" w:rsidRDefault="00D8327C" w:rsidP="00D8327C">
            <w:pPr>
              <w:spacing w:line="240" w:lineRule="auto"/>
            </w:pPr>
          </w:p>
        </w:tc>
      </w:tr>
      <w:tr w:rsidR="00D8327C" w:rsidRPr="00D8327C" w14:paraId="1B8D4B5E" w14:textId="2C61C6F0" w:rsidTr="00D8327C">
        <w:tc>
          <w:tcPr>
            <w:tcW w:w="2121" w:type="dxa"/>
          </w:tcPr>
          <w:p w14:paraId="1802650E" w14:textId="14D0D717" w:rsidR="00D8327C" w:rsidRPr="00D8327C" w:rsidRDefault="00D8327C" w:rsidP="00D8327C">
            <w:pPr>
              <w:spacing w:line="240" w:lineRule="auto"/>
            </w:pPr>
            <w:r w:rsidRPr="00D8327C">
              <w:t>им</w:t>
            </w:r>
          </w:p>
        </w:tc>
        <w:tc>
          <w:tcPr>
            <w:tcW w:w="2126" w:type="dxa"/>
          </w:tcPr>
          <w:p w14:paraId="2EEB7FA9" w14:textId="10D67761" w:rsidR="00D8327C" w:rsidRPr="00D8327C" w:rsidRDefault="00D8327C" w:rsidP="00D8327C">
            <w:pPr>
              <w:spacing w:line="240" w:lineRule="auto"/>
              <w:jc w:val="right"/>
            </w:pPr>
            <w:r w:rsidRPr="00D8327C">
              <w:t>0,036</w:t>
            </w:r>
          </w:p>
        </w:tc>
        <w:tc>
          <w:tcPr>
            <w:tcW w:w="858" w:type="dxa"/>
          </w:tcPr>
          <w:p w14:paraId="3EA6FF1B" w14:textId="7BFD1A45" w:rsidR="00D8327C" w:rsidRPr="00D8327C" w:rsidRDefault="00D8327C" w:rsidP="00D8327C">
            <w:pPr>
              <w:spacing w:line="240" w:lineRule="auto"/>
            </w:pPr>
            <w:r>
              <w:t>1</w:t>
            </w:r>
          </w:p>
        </w:tc>
        <w:tc>
          <w:tcPr>
            <w:tcW w:w="4246" w:type="dxa"/>
          </w:tcPr>
          <w:p w14:paraId="3E19ADDE" w14:textId="186FA559" w:rsidR="00D8327C" w:rsidRPr="00D8327C" w:rsidRDefault="00D8327C" w:rsidP="00D8327C">
            <w:pPr>
              <w:spacing w:line="240" w:lineRule="auto"/>
            </w:pPr>
            <w:r>
              <w:t>Аббревиатура: инфаркт миокарда</w:t>
            </w:r>
          </w:p>
        </w:tc>
      </w:tr>
      <w:tr w:rsidR="00D8327C" w:rsidRPr="00D8327C" w14:paraId="6837154E" w14:textId="77777777" w:rsidTr="00D8327C">
        <w:tc>
          <w:tcPr>
            <w:tcW w:w="2121" w:type="dxa"/>
          </w:tcPr>
          <w:p w14:paraId="6BC54326" w14:textId="056C4537" w:rsidR="00D8327C" w:rsidRPr="00D8327C" w:rsidRDefault="00D8327C" w:rsidP="00D8327C">
            <w:pPr>
              <w:spacing w:line="240" w:lineRule="auto"/>
            </w:pPr>
            <w:r w:rsidRPr="00D8327C">
              <w:t>отрицать</w:t>
            </w:r>
          </w:p>
        </w:tc>
        <w:tc>
          <w:tcPr>
            <w:tcW w:w="2126" w:type="dxa"/>
          </w:tcPr>
          <w:p w14:paraId="09ADF5D4" w14:textId="797CFA05" w:rsidR="00D8327C" w:rsidRPr="00D8327C" w:rsidRDefault="00D8327C" w:rsidP="00D8327C">
            <w:pPr>
              <w:spacing w:line="240" w:lineRule="auto"/>
              <w:jc w:val="right"/>
            </w:pPr>
            <w:r w:rsidRPr="00D8327C">
              <w:t>0,035</w:t>
            </w:r>
          </w:p>
        </w:tc>
        <w:tc>
          <w:tcPr>
            <w:tcW w:w="858" w:type="dxa"/>
          </w:tcPr>
          <w:p w14:paraId="3009AA12" w14:textId="07051B32" w:rsidR="00D8327C" w:rsidRPr="00D8327C" w:rsidRDefault="00D8327C" w:rsidP="00D8327C">
            <w:pPr>
              <w:spacing w:line="240" w:lineRule="auto"/>
            </w:pPr>
            <w:r>
              <w:t>-1</w:t>
            </w:r>
          </w:p>
        </w:tc>
        <w:tc>
          <w:tcPr>
            <w:tcW w:w="4246" w:type="dxa"/>
          </w:tcPr>
          <w:p w14:paraId="71BC8494" w14:textId="7A401F80" w:rsidR="00D8327C" w:rsidRPr="00D8327C" w:rsidRDefault="00D8327C" w:rsidP="00D8327C">
            <w:pPr>
              <w:spacing w:line="240" w:lineRule="auto"/>
            </w:pPr>
            <w:r>
              <w:t>Пациент отрицает наличие острого состояния</w:t>
            </w:r>
          </w:p>
        </w:tc>
      </w:tr>
      <w:tr w:rsidR="00D8327C" w:rsidRPr="00D8327C" w14:paraId="61B24F97" w14:textId="7A2FFED4" w:rsidTr="00D8327C">
        <w:tc>
          <w:tcPr>
            <w:tcW w:w="2121" w:type="dxa"/>
          </w:tcPr>
          <w:p w14:paraId="169107E1" w14:textId="75437E2B" w:rsidR="00D8327C" w:rsidRPr="00D8327C" w:rsidRDefault="00D8327C" w:rsidP="00D8327C">
            <w:pPr>
              <w:spacing w:line="240" w:lineRule="auto"/>
            </w:pPr>
            <w:r w:rsidRPr="00D8327C">
              <w:t>миокард ранее</w:t>
            </w:r>
          </w:p>
        </w:tc>
        <w:tc>
          <w:tcPr>
            <w:tcW w:w="2126" w:type="dxa"/>
          </w:tcPr>
          <w:p w14:paraId="54E7F517" w14:textId="1895475C" w:rsidR="00D8327C" w:rsidRPr="00D8327C" w:rsidRDefault="00D8327C" w:rsidP="00D8327C">
            <w:pPr>
              <w:spacing w:line="240" w:lineRule="auto"/>
              <w:jc w:val="right"/>
            </w:pPr>
            <w:r w:rsidRPr="00D8327C">
              <w:t>0,027</w:t>
            </w:r>
          </w:p>
        </w:tc>
        <w:tc>
          <w:tcPr>
            <w:tcW w:w="858" w:type="dxa"/>
          </w:tcPr>
          <w:p w14:paraId="6D571FC8" w14:textId="09057BBF" w:rsidR="00D8327C" w:rsidRPr="00D8327C" w:rsidRDefault="00D8327C" w:rsidP="00D8327C">
            <w:pPr>
              <w:spacing w:line="240" w:lineRule="auto"/>
            </w:pPr>
            <w:r>
              <w:t>1</w:t>
            </w:r>
          </w:p>
        </w:tc>
        <w:tc>
          <w:tcPr>
            <w:tcW w:w="4246" w:type="dxa"/>
          </w:tcPr>
          <w:p w14:paraId="1E4FFB69" w14:textId="018A19E5" w:rsidR="00D8327C" w:rsidRPr="00D8327C" w:rsidRDefault="00D8327C" w:rsidP="00D8327C">
            <w:pPr>
              <w:spacing w:line="240" w:lineRule="auto"/>
            </w:pPr>
            <w:r>
              <w:t>Указывает на проблемы с миокардом ранее</w:t>
            </w:r>
          </w:p>
        </w:tc>
      </w:tr>
      <w:tr w:rsidR="00D8327C" w:rsidRPr="00D8327C" w14:paraId="6A3911C9" w14:textId="77777777" w:rsidTr="00D8327C">
        <w:tc>
          <w:tcPr>
            <w:tcW w:w="2121" w:type="dxa"/>
          </w:tcPr>
          <w:p w14:paraId="6C398C20" w14:textId="2A6C3273" w:rsidR="00D8327C" w:rsidRPr="00D8327C" w:rsidRDefault="00D8327C" w:rsidP="00D8327C">
            <w:pPr>
              <w:spacing w:line="240" w:lineRule="auto"/>
            </w:pPr>
            <w:r w:rsidRPr="00D8327C">
              <w:t>нижний</w:t>
            </w:r>
          </w:p>
        </w:tc>
        <w:tc>
          <w:tcPr>
            <w:tcW w:w="2126" w:type="dxa"/>
          </w:tcPr>
          <w:p w14:paraId="76C19BE9" w14:textId="18D41DE6" w:rsidR="00D8327C" w:rsidRPr="00D8327C" w:rsidRDefault="00D8327C" w:rsidP="00D8327C">
            <w:pPr>
              <w:spacing w:line="240" w:lineRule="auto"/>
              <w:jc w:val="right"/>
            </w:pPr>
            <w:r w:rsidRPr="00D8327C">
              <w:t>0,022</w:t>
            </w:r>
          </w:p>
        </w:tc>
        <w:tc>
          <w:tcPr>
            <w:tcW w:w="858" w:type="dxa"/>
          </w:tcPr>
          <w:p w14:paraId="231E6420" w14:textId="6B752738" w:rsidR="00D8327C" w:rsidRPr="00D8327C" w:rsidRDefault="00A46A5F" w:rsidP="00D8327C">
            <w:pPr>
              <w:spacing w:line="240" w:lineRule="auto"/>
            </w:pPr>
            <w:r>
              <w:t>1</w:t>
            </w:r>
          </w:p>
        </w:tc>
        <w:tc>
          <w:tcPr>
            <w:tcW w:w="4246" w:type="dxa"/>
          </w:tcPr>
          <w:p w14:paraId="7C87363F" w14:textId="09770EFE" w:rsidR="00D8327C" w:rsidRPr="00D8327C" w:rsidRDefault="00A46A5F" w:rsidP="00D8327C">
            <w:pPr>
              <w:spacing w:line="240" w:lineRule="auto"/>
            </w:pPr>
            <w:r>
              <w:t xml:space="preserve">Встречается в словосочетаниях: нижний ИМ и </w:t>
            </w:r>
            <w:r w:rsidRPr="00A46A5F">
              <w:t>нижн</w:t>
            </w:r>
            <w:r>
              <w:t>яя</w:t>
            </w:r>
            <w:r w:rsidRPr="00A46A5F">
              <w:t xml:space="preserve"> стенка </w:t>
            </w:r>
            <w:r>
              <w:t>левого желудочка –</w:t>
            </w:r>
            <w:r w:rsidR="00975666">
              <w:t xml:space="preserve"> указывает на</w:t>
            </w:r>
            <w:r>
              <w:t xml:space="preserve"> локализаци</w:t>
            </w:r>
            <w:r w:rsidR="00975666">
              <w:t>ю</w:t>
            </w:r>
            <w:r>
              <w:t xml:space="preserve"> ОИМ</w:t>
            </w:r>
          </w:p>
        </w:tc>
      </w:tr>
      <w:tr w:rsidR="00D8327C" w:rsidRPr="00D8327C" w14:paraId="2519A0F8" w14:textId="77777777" w:rsidTr="00D8327C">
        <w:tc>
          <w:tcPr>
            <w:tcW w:w="2121" w:type="dxa"/>
          </w:tcPr>
          <w:p w14:paraId="700F94AD" w14:textId="63410F1A" w:rsidR="00D8327C" w:rsidRPr="00D8327C" w:rsidRDefault="00D8327C" w:rsidP="00D8327C">
            <w:pPr>
              <w:spacing w:line="240" w:lineRule="auto"/>
            </w:pPr>
            <w:r w:rsidRPr="00D8327C">
              <w:t>миокард</w:t>
            </w:r>
          </w:p>
        </w:tc>
        <w:tc>
          <w:tcPr>
            <w:tcW w:w="2126" w:type="dxa"/>
          </w:tcPr>
          <w:p w14:paraId="20C7A789" w14:textId="38D94D5B" w:rsidR="00D8327C" w:rsidRPr="00D8327C" w:rsidRDefault="00D8327C" w:rsidP="00D8327C">
            <w:pPr>
              <w:spacing w:line="240" w:lineRule="auto"/>
              <w:jc w:val="right"/>
            </w:pPr>
            <w:r w:rsidRPr="00D8327C">
              <w:t>0,018</w:t>
            </w:r>
          </w:p>
        </w:tc>
        <w:tc>
          <w:tcPr>
            <w:tcW w:w="858" w:type="dxa"/>
          </w:tcPr>
          <w:p w14:paraId="297A6CA9" w14:textId="086E8C2E" w:rsidR="00D8327C" w:rsidRPr="00D8327C" w:rsidRDefault="00A46A5F" w:rsidP="00D8327C">
            <w:pPr>
              <w:spacing w:line="240" w:lineRule="auto"/>
            </w:pPr>
            <w:r>
              <w:t>1</w:t>
            </w:r>
          </w:p>
        </w:tc>
        <w:tc>
          <w:tcPr>
            <w:tcW w:w="4246" w:type="dxa"/>
          </w:tcPr>
          <w:p w14:paraId="267301D2" w14:textId="090223FF" w:rsidR="00D8327C" w:rsidRPr="00D8327C" w:rsidRDefault="00A46A5F" w:rsidP="00D8327C">
            <w:pPr>
              <w:spacing w:line="240" w:lineRule="auto"/>
            </w:pPr>
            <w:r>
              <w:t>Указывает на проблемы с миокардом</w:t>
            </w:r>
          </w:p>
        </w:tc>
      </w:tr>
      <w:tr w:rsidR="00D8327C" w:rsidRPr="00D8327C" w14:paraId="1717BC37" w14:textId="77777777" w:rsidTr="00D8327C">
        <w:tc>
          <w:tcPr>
            <w:tcW w:w="2121" w:type="dxa"/>
          </w:tcPr>
          <w:p w14:paraId="41040FA6" w14:textId="049C3D29" w:rsidR="00D8327C" w:rsidRPr="00D8327C" w:rsidRDefault="00D8327C" w:rsidP="00D8327C">
            <w:pPr>
              <w:spacing w:line="240" w:lineRule="auto"/>
            </w:pPr>
            <w:r w:rsidRPr="00D8327C">
              <w:t>ранее</w:t>
            </w:r>
          </w:p>
        </w:tc>
        <w:tc>
          <w:tcPr>
            <w:tcW w:w="2126" w:type="dxa"/>
          </w:tcPr>
          <w:p w14:paraId="53D91863" w14:textId="6297F94F" w:rsidR="00D8327C" w:rsidRPr="00D8327C" w:rsidRDefault="00D8327C" w:rsidP="00D8327C">
            <w:pPr>
              <w:spacing w:line="240" w:lineRule="auto"/>
              <w:jc w:val="right"/>
            </w:pPr>
            <w:r w:rsidRPr="00D8327C">
              <w:t>0,018</w:t>
            </w:r>
          </w:p>
        </w:tc>
        <w:tc>
          <w:tcPr>
            <w:tcW w:w="858" w:type="dxa"/>
          </w:tcPr>
          <w:p w14:paraId="2688F67C" w14:textId="322B98CC" w:rsidR="00D8327C" w:rsidRPr="00D8327C" w:rsidRDefault="00A46A5F" w:rsidP="00D8327C">
            <w:pPr>
              <w:spacing w:line="240" w:lineRule="auto"/>
            </w:pPr>
            <w:r>
              <w:t>1</w:t>
            </w:r>
          </w:p>
        </w:tc>
        <w:tc>
          <w:tcPr>
            <w:tcW w:w="4246" w:type="dxa"/>
          </w:tcPr>
          <w:p w14:paraId="4A8979F0" w14:textId="2BBD23BA" w:rsidR="00D8327C" w:rsidRPr="00D8327C" w:rsidRDefault="00A46A5F" w:rsidP="00D8327C">
            <w:pPr>
              <w:spacing w:line="240" w:lineRule="auto"/>
            </w:pPr>
            <w:r>
              <w:t>Указывает на наличие патологий ранее</w:t>
            </w:r>
          </w:p>
        </w:tc>
      </w:tr>
      <w:tr w:rsidR="00D8327C" w:rsidRPr="00D8327C" w14:paraId="67525D0E" w14:textId="77777777" w:rsidTr="00D8327C">
        <w:tc>
          <w:tcPr>
            <w:tcW w:w="2121" w:type="dxa"/>
          </w:tcPr>
          <w:p w14:paraId="51C66841" w14:textId="5DC8D7B9" w:rsidR="00D8327C" w:rsidRPr="00D8327C" w:rsidRDefault="00D8327C" w:rsidP="00D8327C">
            <w:pPr>
              <w:spacing w:line="240" w:lineRule="auto"/>
            </w:pPr>
            <w:r w:rsidRPr="00D8327C">
              <w:t xml:space="preserve">провести </w:t>
            </w:r>
            <w:proofErr w:type="spellStart"/>
            <w:r w:rsidRPr="00D8327C">
              <w:t>стентирование</w:t>
            </w:r>
            <w:proofErr w:type="spellEnd"/>
          </w:p>
        </w:tc>
        <w:tc>
          <w:tcPr>
            <w:tcW w:w="2126" w:type="dxa"/>
          </w:tcPr>
          <w:p w14:paraId="439A76AE" w14:textId="72B71908" w:rsidR="00D8327C" w:rsidRPr="00D8327C" w:rsidRDefault="00D8327C" w:rsidP="00D8327C">
            <w:pPr>
              <w:spacing w:line="240" w:lineRule="auto"/>
              <w:jc w:val="right"/>
            </w:pPr>
            <w:r w:rsidRPr="00D8327C">
              <w:t>0,016</w:t>
            </w:r>
          </w:p>
        </w:tc>
        <w:tc>
          <w:tcPr>
            <w:tcW w:w="858" w:type="dxa"/>
          </w:tcPr>
          <w:p w14:paraId="04B6C473" w14:textId="12105C7B" w:rsidR="00D8327C" w:rsidRPr="00D8327C" w:rsidRDefault="00A46A5F" w:rsidP="00D8327C">
            <w:pPr>
              <w:spacing w:line="240" w:lineRule="auto"/>
            </w:pPr>
            <w:r>
              <w:t>1</w:t>
            </w:r>
          </w:p>
        </w:tc>
        <w:tc>
          <w:tcPr>
            <w:tcW w:w="4246" w:type="dxa"/>
          </w:tcPr>
          <w:p w14:paraId="17C7CEB9" w14:textId="160B1904" w:rsidR="00D8327C" w:rsidRPr="00D8327C" w:rsidRDefault="00A46A5F" w:rsidP="00D8327C">
            <w:pPr>
              <w:spacing w:line="240" w:lineRule="auto"/>
            </w:pPr>
            <w:proofErr w:type="spellStart"/>
            <w:r>
              <w:t>Стентирование</w:t>
            </w:r>
            <w:proofErr w:type="spellEnd"/>
            <w:r>
              <w:t xml:space="preserve"> – это операция, которую часто проводят при ОИМ </w:t>
            </w:r>
          </w:p>
        </w:tc>
      </w:tr>
      <w:tr w:rsidR="00D8327C" w:rsidRPr="00D8327C" w14:paraId="6A2F23C6" w14:textId="77777777" w:rsidTr="00D8327C">
        <w:tc>
          <w:tcPr>
            <w:tcW w:w="2121" w:type="dxa"/>
          </w:tcPr>
          <w:p w14:paraId="4A516BB2" w14:textId="2D7C5353" w:rsidR="00D8327C" w:rsidRPr="00D8327C" w:rsidRDefault="00D8327C" w:rsidP="00D8327C">
            <w:pPr>
              <w:spacing w:line="240" w:lineRule="auto"/>
            </w:pPr>
            <w:r w:rsidRPr="00D8327C">
              <w:t>ознакомить</w:t>
            </w:r>
          </w:p>
        </w:tc>
        <w:tc>
          <w:tcPr>
            <w:tcW w:w="2126" w:type="dxa"/>
          </w:tcPr>
          <w:p w14:paraId="309D5552" w14:textId="720E0D44" w:rsidR="00D8327C" w:rsidRPr="00D8327C" w:rsidRDefault="00D8327C" w:rsidP="00D8327C">
            <w:pPr>
              <w:spacing w:line="240" w:lineRule="auto"/>
              <w:jc w:val="right"/>
            </w:pPr>
            <w:r w:rsidRPr="00D8327C">
              <w:t>0,015</w:t>
            </w:r>
          </w:p>
        </w:tc>
        <w:tc>
          <w:tcPr>
            <w:tcW w:w="858" w:type="dxa"/>
          </w:tcPr>
          <w:p w14:paraId="435C9507" w14:textId="42CB5F88" w:rsidR="00D8327C" w:rsidRPr="00D8327C" w:rsidRDefault="00A46A5F" w:rsidP="00D8327C">
            <w:pPr>
              <w:spacing w:line="240" w:lineRule="auto"/>
            </w:pPr>
            <w:r>
              <w:t>0</w:t>
            </w:r>
          </w:p>
        </w:tc>
        <w:tc>
          <w:tcPr>
            <w:tcW w:w="4246" w:type="dxa"/>
          </w:tcPr>
          <w:p w14:paraId="1EDEF379" w14:textId="25D09A6C" w:rsidR="00D8327C" w:rsidRPr="00D8327C" w:rsidRDefault="00975666" w:rsidP="00D8327C">
            <w:pPr>
              <w:spacing w:line="240" w:lineRule="auto"/>
            </w:pPr>
            <w:r>
              <w:t>Указывает на анамнезы следующего вида: «</w:t>
            </w:r>
            <w:r w:rsidRPr="00975666">
              <w:t>c и/б, анамнезом ознакомлен, дополнений нет.</w:t>
            </w:r>
            <w:r>
              <w:t xml:space="preserve">» – </w:t>
            </w:r>
            <w:r w:rsidR="00B60249">
              <w:t>анамнез без истории болезни</w:t>
            </w:r>
          </w:p>
        </w:tc>
      </w:tr>
      <w:tr w:rsidR="00D8327C" w:rsidRPr="00D8327C" w14:paraId="61CFB42B" w14:textId="77777777" w:rsidTr="00D8327C">
        <w:tc>
          <w:tcPr>
            <w:tcW w:w="2121" w:type="dxa"/>
          </w:tcPr>
          <w:p w14:paraId="5413F60D" w14:textId="783FB4DA" w:rsidR="00D8327C" w:rsidRPr="00D8327C" w:rsidRDefault="00D8327C" w:rsidP="00D8327C">
            <w:pPr>
              <w:spacing w:line="240" w:lineRule="auto"/>
            </w:pPr>
            <w:r w:rsidRPr="00D8327C">
              <w:t>передний</w:t>
            </w:r>
          </w:p>
        </w:tc>
        <w:tc>
          <w:tcPr>
            <w:tcW w:w="2126" w:type="dxa"/>
          </w:tcPr>
          <w:p w14:paraId="1CD3264B" w14:textId="4FECE25A" w:rsidR="00D8327C" w:rsidRPr="00D8327C" w:rsidRDefault="00D8327C" w:rsidP="00D8327C">
            <w:pPr>
              <w:spacing w:line="240" w:lineRule="auto"/>
              <w:jc w:val="right"/>
            </w:pPr>
            <w:r w:rsidRPr="00D8327C">
              <w:t>0,014</w:t>
            </w:r>
          </w:p>
        </w:tc>
        <w:tc>
          <w:tcPr>
            <w:tcW w:w="858" w:type="dxa"/>
          </w:tcPr>
          <w:p w14:paraId="6956FCC1" w14:textId="0F1CBD46" w:rsidR="00D8327C" w:rsidRPr="00D8327C" w:rsidRDefault="00A46A5F" w:rsidP="00D8327C">
            <w:pPr>
              <w:spacing w:line="240" w:lineRule="auto"/>
            </w:pPr>
            <w:r>
              <w:t>1</w:t>
            </w:r>
          </w:p>
        </w:tc>
        <w:tc>
          <w:tcPr>
            <w:tcW w:w="4246" w:type="dxa"/>
          </w:tcPr>
          <w:p w14:paraId="6B70CF5B" w14:textId="61A5E3A4" w:rsidR="00D8327C" w:rsidRPr="00D8327C" w:rsidRDefault="00A46A5F" w:rsidP="00D8327C">
            <w:pPr>
              <w:spacing w:line="240" w:lineRule="auto"/>
            </w:pPr>
            <w:r>
              <w:t xml:space="preserve">Встречается в словосочетаниях: </w:t>
            </w:r>
            <w:r w:rsidRPr="00A46A5F">
              <w:t>передн</w:t>
            </w:r>
            <w:r>
              <w:t>яя</w:t>
            </w:r>
            <w:r w:rsidRPr="00A46A5F">
              <w:t xml:space="preserve"> стенка</w:t>
            </w:r>
            <w:r w:rsidR="00975666">
              <w:t>, передняя локализация, передний ИМ – указывает на локализацию ОИМ</w:t>
            </w:r>
          </w:p>
        </w:tc>
      </w:tr>
      <w:tr w:rsidR="00D8327C" w:rsidRPr="00D8327C" w14:paraId="5AB4732E" w14:textId="77777777" w:rsidTr="00D8327C">
        <w:tc>
          <w:tcPr>
            <w:tcW w:w="2121" w:type="dxa"/>
          </w:tcPr>
          <w:p w14:paraId="608D9868" w14:textId="57B398BB" w:rsidR="00D8327C" w:rsidRPr="00D8327C" w:rsidRDefault="00D8327C" w:rsidP="00D8327C">
            <w:pPr>
              <w:spacing w:line="240" w:lineRule="auto"/>
            </w:pPr>
            <w:r w:rsidRPr="00D8327C">
              <w:t xml:space="preserve">анальгин </w:t>
            </w:r>
            <w:proofErr w:type="spellStart"/>
            <w:r w:rsidRPr="00D8327C">
              <w:t>трамадол</w:t>
            </w:r>
            <w:proofErr w:type="spellEnd"/>
          </w:p>
        </w:tc>
        <w:tc>
          <w:tcPr>
            <w:tcW w:w="2126" w:type="dxa"/>
          </w:tcPr>
          <w:p w14:paraId="331CC4C5" w14:textId="2657C431" w:rsidR="00D8327C" w:rsidRPr="00D8327C" w:rsidRDefault="00D8327C" w:rsidP="00D8327C">
            <w:pPr>
              <w:spacing w:line="240" w:lineRule="auto"/>
              <w:jc w:val="right"/>
            </w:pPr>
            <w:r w:rsidRPr="00D8327C">
              <w:t>0,013</w:t>
            </w:r>
          </w:p>
        </w:tc>
        <w:tc>
          <w:tcPr>
            <w:tcW w:w="858" w:type="dxa"/>
          </w:tcPr>
          <w:p w14:paraId="1E8388D9" w14:textId="5C95EA3D" w:rsidR="00D8327C" w:rsidRPr="00D8327C" w:rsidRDefault="00A46A5F" w:rsidP="00D8327C">
            <w:pPr>
              <w:spacing w:line="240" w:lineRule="auto"/>
            </w:pPr>
            <w:r>
              <w:t>1</w:t>
            </w:r>
          </w:p>
        </w:tc>
        <w:tc>
          <w:tcPr>
            <w:tcW w:w="4246" w:type="dxa"/>
          </w:tcPr>
          <w:p w14:paraId="71B57E20" w14:textId="7059757E" w:rsidR="00D8327C" w:rsidRPr="00D8327C" w:rsidRDefault="00975666" w:rsidP="00D8327C">
            <w:pPr>
              <w:spacing w:line="240" w:lineRule="auto"/>
            </w:pPr>
            <w:r>
              <w:t xml:space="preserve">Препараты, которые вводят вместе с тромботическими </w:t>
            </w:r>
            <w:r w:rsidR="00C30C93">
              <w:t>препаратами при</w:t>
            </w:r>
            <w:r>
              <w:t xml:space="preserve"> ОИМ, чаще всего во время транспортировки до медицинского центра</w:t>
            </w:r>
          </w:p>
        </w:tc>
      </w:tr>
    </w:tbl>
    <w:p w14:paraId="095FEB88" w14:textId="7245DED1" w:rsidR="00347DEC" w:rsidRDefault="00347DEC" w:rsidP="00CD3CA0"/>
    <w:p w14:paraId="7D81ED43" w14:textId="523383AF" w:rsidR="00B60249" w:rsidRDefault="00B60249" w:rsidP="00CD3CA0">
      <w:r>
        <w:t xml:space="preserve">Аналогичный алгоритм был применен для поиска упоминания ОНМК и артериальной гипертензии (АГ). </w:t>
      </w:r>
      <w:r w:rsidR="007A6E41">
        <w:t>Наиболее значимые слова для ОНМК и АГ указаны в Таблице 2 и Таблице 3 соответственно. При этом точность классификации для ОНМК составляет 94 %, а для АГ 95 % на тестовом множестве.</w:t>
      </w:r>
    </w:p>
    <w:p w14:paraId="57EA339B" w14:textId="7B32E481" w:rsidR="007A6E41" w:rsidRDefault="007A6E41" w:rsidP="007A6E41">
      <w:pPr>
        <w:pStyle w:val="a4"/>
        <w:jc w:val="left"/>
      </w:pPr>
      <w:r>
        <w:t xml:space="preserve">Таблица </w:t>
      </w:r>
      <w:r>
        <w:fldChar w:fldCharType="begin"/>
      </w:r>
      <w:r>
        <w:instrText xml:space="preserve"> SEQ Таблица \* ARABIC </w:instrText>
      </w:r>
      <w:r>
        <w:fldChar w:fldCharType="separate"/>
      </w:r>
      <w:r>
        <w:rPr>
          <w:noProof/>
        </w:rPr>
        <w:t>2</w:t>
      </w:r>
      <w:r>
        <w:fldChar w:fldCharType="end"/>
      </w:r>
      <w:r>
        <w:t xml:space="preserve"> – 10 наиболее значимых слов и словосочетаний для определения ОНМК в тексте анамнеза и классы, на которые эти слова указывают</w:t>
      </w:r>
    </w:p>
    <w:tbl>
      <w:tblPr>
        <w:tblStyle w:val="a3"/>
        <w:tblW w:w="5106" w:type="dxa"/>
        <w:jc w:val="center"/>
        <w:tblLook w:val="04A0" w:firstRow="1" w:lastRow="0" w:firstColumn="1" w:lastColumn="0" w:noHBand="0" w:noVBand="1"/>
      </w:tblPr>
      <w:tblGrid>
        <w:gridCol w:w="2122"/>
        <w:gridCol w:w="2126"/>
        <w:gridCol w:w="858"/>
      </w:tblGrid>
      <w:tr w:rsidR="00B13D7F" w:rsidRPr="00D8327C" w14:paraId="6B315AFA" w14:textId="77777777" w:rsidTr="007A6E41">
        <w:trPr>
          <w:jc w:val="center"/>
        </w:trPr>
        <w:tc>
          <w:tcPr>
            <w:tcW w:w="2122" w:type="dxa"/>
          </w:tcPr>
          <w:p w14:paraId="06DAD14B" w14:textId="77777777" w:rsidR="00B13D7F" w:rsidRPr="00D8327C" w:rsidRDefault="00B13D7F" w:rsidP="007A6E41">
            <w:pPr>
              <w:spacing w:line="240" w:lineRule="auto"/>
              <w:rPr>
                <w:b/>
              </w:rPr>
            </w:pPr>
            <w:r w:rsidRPr="00D8327C">
              <w:rPr>
                <w:b/>
              </w:rPr>
              <w:t>Слово или фраза</w:t>
            </w:r>
          </w:p>
        </w:tc>
        <w:tc>
          <w:tcPr>
            <w:tcW w:w="2126" w:type="dxa"/>
          </w:tcPr>
          <w:p w14:paraId="139BEEF5" w14:textId="77777777" w:rsidR="00B13D7F" w:rsidRPr="00D8327C" w:rsidRDefault="00B13D7F" w:rsidP="007A6E41">
            <w:pPr>
              <w:spacing w:line="240" w:lineRule="auto"/>
              <w:rPr>
                <w:b/>
              </w:rPr>
            </w:pPr>
            <w:r w:rsidRPr="00D8327C">
              <w:rPr>
                <w:b/>
              </w:rPr>
              <w:t>Значимость для классификатора</w:t>
            </w:r>
          </w:p>
        </w:tc>
        <w:tc>
          <w:tcPr>
            <w:tcW w:w="858" w:type="dxa"/>
          </w:tcPr>
          <w:p w14:paraId="602AF622" w14:textId="77777777" w:rsidR="00B13D7F" w:rsidRPr="00D8327C" w:rsidRDefault="00B13D7F" w:rsidP="007A6E41">
            <w:pPr>
              <w:spacing w:line="240" w:lineRule="auto"/>
              <w:rPr>
                <w:b/>
              </w:rPr>
            </w:pPr>
            <w:r>
              <w:rPr>
                <w:b/>
              </w:rPr>
              <w:t>Класс</w:t>
            </w:r>
          </w:p>
        </w:tc>
      </w:tr>
      <w:tr w:rsidR="00B13D7F" w:rsidRPr="00B13D7F" w14:paraId="3BEE469D" w14:textId="7C45CE7E" w:rsidTr="007A6E41">
        <w:trPr>
          <w:trHeight w:val="300"/>
          <w:jc w:val="center"/>
        </w:trPr>
        <w:tc>
          <w:tcPr>
            <w:tcW w:w="2122" w:type="dxa"/>
            <w:noWrap/>
            <w:hideMark/>
          </w:tcPr>
          <w:p w14:paraId="7B6A7ED8" w14:textId="77777777" w:rsidR="00B13D7F" w:rsidRPr="00B13D7F" w:rsidRDefault="00B13D7F" w:rsidP="007A6E41">
            <w:pPr>
              <w:spacing w:line="240" w:lineRule="auto"/>
            </w:pPr>
            <w:proofErr w:type="spellStart"/>
            <w:r w:rsidRPr="00B13D7F">
              <w:t>онмк</w:t>
            </w:r>
            <w:proofErr w:type="spellEnd"/>
          </w:p>
        </w:tc>
        <w:tc>
          <w:tcPr>
            <w:tcW w:w="2126" w:type="dxa"/>
            <w:noWrap/>
            <w:hideMark/>
          </w:tcPr>
          <w:p w14:paraId="3F911563" w14:textId="77777777" w:rsidR="00B13D7F" w:rsidRPr="00B13D7F" w:rsidRDefault="00B13D7F" w:rsidP="007A6E41">
            <w:pPr>
              <w:spacing w:line="240" w:lineRule="auto"/>
              <w:jc w:val="right"/>
            </w:pPr>
            <w:r w:rsidRPr="00B13D7F">
              <w:t>0,111</w:t>
            </w:r>
          </w:p>
        </w:tc>
        <w:tc>
          <w:tcPr>
            <w:tcW w:w="858" w:type="dxa"/>
          </w:tcPr>
          <w:p w14:paraId="1D0FA060" w14:textId="5F7C26D9" w:rsidR="00B13D7F" w:rsidRPr="00B13D7F" w:rsidRDefault="00B13D7F" w:rsidP="007A6E41">
            <w:pPr>
              <w:spacing w:line="240" w:lineRule="auto"/>
              <w:jc w:val="right"/>
            </w:pPr>
            <w:r>
              <w:t>1</w:t>
            </w:r>
          </w:p>
        </w:tc>
      </w:tr>
      <w:tr w:rsidR="00B13D7F" w:rsidRPr="00B13D7F" w14:paraId="3235240C" w14:textId="7B884C3A" w:rsidTr="007A6E41">
        <w:trPr>
          <w:trHeight w:val="300"/>
          <w:jc w:val="center"/>
        </w:trPr>
        <w:tc>
          <w:tcPr>
            <w:tcW w:w="2122" w:type="dxa"/>
            <w:noWrap/>
            <w:hideMark/>
          </w:tcPr>
          <w:p w14:paraId="3F17D219" w14:textId="77777777" w:rsidR="00B13D7F" w:rsidRPr="00B13D7F" w:rsidRDefault="00B13D7F" w:rsidP="007A6E41">
            <w:pPr>
              <w:spacing w:line="240" w:lineRule="auto"/>
            </w:pPr>
            <w:proofErr w:type="spellStart"/>
            <w:r w:rsidRPr="00B13D7F">
              <w:t>онмк</w:t>
            </w:r>
            <w:proofErr w:type="spellEnd"/>
            <w:r w:rsidRPr="00B13D7F">
              <w:t xml:space="preserve"> отрицать</w:t>
            </w:r>
          </w:p>
        </w:tc>
        <w:tc>
          <w:tcPr>
            <w:tcW w:w="2126" w:type="dxa"/>
            <w:noWrap/>
            <w:hideMark/>
          </w:tcPr>
          <w:p w14:paraId="0FE3D37D" w14:textId="77777777" w:rsidR="00B13D7F" w:rsidRPr="00B13D7F" w:rsidRDefault="00B13D7F" w:rsidP="007A6E41">
            <w:pPr>
              <w:spacing w:line="240" w:lineRule="auto"/>
              <w:jc w:val="right"/>
            </w:pPr>
            <w:r w:rsidRPr="00B13D7F">
              <w:t>0,068</w:t>
            </w:r>
          </w:p>
        </w:tc>
        <w:tc>
          <w:tcPr>
            <w:tcW w:w="858" w:type="dxa"/>
          </w:tcPr>
          <w:p w14:paraId="36E1469B" w14:textId="0353714E" w:rsidR="00B13D7F" w:rsidRPr="00B13D7F" w:rsidRDefault="00B13D7F" w:rsidP="007A6E41">
            <w:pPr>
              <w:spacing w:line="240" w:lineRule="auto"/>
              <w:jc w:val="right"/>
            </w:pPr>
            <w:r>
              <w:t>-1</w:t>
            </w:r>
          </w:p>
        </w:tc>
      </w:tr>
      <w:tr w:rsidR="00B13D7F" w:rsidRPr="00B13D7F" w14:paraId="67C0375B" w14:textId="7B5E73C2" w:rsidTr="007A6E41">
        <w:trPr>
          <w:trHeight w:val="300"/>
          <w:jc w:val="center"/>
        </w:trPr>
        <w:tc>
          <w:tcPr>
            <w:tcW w:w="2122" w:type="dxa"/>
            <w:noWrap/>
            <w:hideMark/>
          </w:tcPr>
          <w:p w14:paraId="3BB4BEB2" w14:textId="77777777" w:rsidR="00B13D7F" w:rsidRPr="00B13D7F" w:rsidRDefault="00B13D7F" w:rsidP="007A6E41">
            <w:pPr>
              <w:spacing w:line="240" w:lineRule="auto"/>
            </w:pPr>
            <w:r w:rsidRPr="00B13D7F">
              <w:t>отрицать</w:t>
            </w:r>
          </w:p>
        </w:tc>
        <w:tc>
          <w:tcPr>
            <w:tcW w:w="2126" w:type="dxa"/>
            <w:noWrap/>
            <w:hideMark/>
          </w:tcPr>
          <w:p w14:paraId="20048071" w14:textId="77777777" w:rsidR="00B13D7F" w:rsidRPr="00B13D7F" w:rsidRDefault="00B13D7F" w:rsidP="007A6E41">
            <w:pPr>
              <w:spacing w:line="240" w:lineRule="auto"/>
              <w:jc w:val="right"/>
            </w:pPr>
            <w:r w:rsidRPr="00B13D7F">
              <w:t>0,057</w:t>
            </w:r>
          </w:p>
        </w:tc>
        <w:tc>
          <w:tcPr>
            <w:tcW w:w="858" w:type="dxa"/>
          </w:tcPr>
          <w:p w14:paraId="718BD64E" w14:textId="17D8AB2C" w:rsidR="00B13D7F" w:rsidRPr="00B13D7F" w:rsidRDefault="00B13D7F" w:rsidP="007A6E41">
            <w:pPr>
              <w:spacing w:line="240" w:lineRule="auto"/>
              <w:jc w:val="right"/>
            </w:pPr>
            <w:r>
              <w:t>-1</w:t>
            </w:r>
          </w:p>
        </w:tc>
      </w:tr>
      <w:tr w:rsidR="00B13D7F" w:rsidRPr="00B13D7F" w14:paraId="560B789B" w14:textId="1CA95FDB" w:rsidTr="007A6E41">
        <w:trPr>
          <w:trHeight w:val="300"/>
          <w:jc w:val="center"/>
        </w:trPr>
        <w:tc>
          <w:tcPr>
            <w:tcW w:w="2122" w:type="dxa"/>
            <w:noWrap/>
            <w:hideMark/>
          </w:tcPr>
          <w:p w14:paraId="541882C3" w14:textId="77777777" w:rsidR="00B13D7F" w:rsidRPr="00B13D7F" w:rsidRDefault="00B13D7F" w:rsidP="007A6E41">
            <w:pPr>
              <w:spacing w:line="240" w:lineRule="auto"/>
            </w:pPr>
            <w:r w:rsidRPr="00B13D7F">
              <w:t>инсульт</w:t>
            </w:r>
          </w:p>
        </w:tc>
        <w:tc>
          <w:tcPr>
            <w:tcW w:w="2126" w:type="dxa"/>
            <w:noWrap/>
            <w:hideMark/>
          </w:tcPr>
          <w:p w14:paraId="4B5D5179" w14:textId="77777777" w:rsidR="00B13D7F" w:rsidRPr="00B13D7F" w:rsidRDefault="00B13D7F" w:rsidP="007A6E41">
            <w:pPr>
              <w:spacing w:line="240" w:lineRule="auto"/>
              <w:jc w:val="right"/>
            </w:pPr>
            <w:r w:rsidRPr="00B13D7F">
              <w:t>0,051</w:t>
            </w:r>
          </w:p>
        </w:tc>
        <w:tc>
          <w:tcPr>
            <w:tcW w:w="858" w:type="dxa"/>
          </w:tcPr>
          <w:p w14:paraId="28CF0F3B" w14:textId="6E2B6570" w:rsidR="00B13D7F" w:rsidRPr="00B13D7F" w:rsidRDefault="00B13D7F" w:rsidP="007A6E41">
            <w:pPr>
              <w:spacing w:line="240" w:lineRule="auto"/>
              <w:jc w:val="right"/>
            </w:pPr>
            <w:r>
              <w:t>1</w:t>
            </w:r>
          </w:p>
        </w:tc>
      </w:tr>
      <w:tr w:rsidR="00B13D7F" w:rsidRPr="00B13D7F" w14:paraId="164FC25F" w14:textId="2A880687" w:rsidTr="007A6E41">
        <w:trPr>
          <w:trHeight w:val="300"/>
          <w:jc w:val="center"/>
        </w:trPr>
        <w:tc>
          <w:tcPr>
            <w:tcW w:w="2122" w:type="dxa"/>
            <w:noWrap/>
            <w:hideMark/>
          </w:tcPr>
          <w:p w14:paraId="111EB07F" w14:textId="77777777" w:rsidR="00B13D7F" w:rsidRPr="00B13D7F" w:rsidRDefault="00B13D7F" w:rsidP="007A6E41">
            <w:pPr>
              <w:spacing w:line="240" w:lineRule="auto"/>
            </w:pPr>
            <w:r w:rsidRPr="00B13D7F">
              <w:t>гемипарез</w:t>
            </w:r>
          </w:p>
        </w:tc>
        <w:tc>
          <w:tcPr>
            <w:tcW w:w="2126" w:type="dxa"/>
            <w:noWrap/>
            <w:hideMark/>
          </w:tcPr>
          <w:p w14:paraId="6165B7F9" w14:textId="77777777" w:rsidR="00B13D7F" w:rsidRPr="00B13D7F" w:rsidRDefault="00B13D7F" w:rsidP="007A6E41">
            <w:pPr>
              <w:spacing w:line="240" w:lineRule="auto"/>
              <w:jc w:val="right"/>
            </w:pPr>
            <w:r w:rsidRPr="00B13D7F">
              <w:t>0,023</w:t>
            </w:r>
          </w:p>
        </w:tc>
        <w:tc>
          <w:tcPr>
            <w:tcW w:w="858" w:type="dxa"/>
          </w:tcPr>
          <w:p w14:paraId="3F6F3672" w14:textId="11DF6B35" w:rsidR="00B13D7F" w:rsidRPr="00B13D7F" w:rsidRDefault="00B13D7F" w:rsidP="007A6E41">
            <w:pPr>
              <w:spacing w:line="240" w:lineRule="auto"/>
              <w:jc w:val="right"/>
            </w:pPr>
            <w:r>
              <w:t>1</w:t>
            </w:r>
          </w:p>
        </w:tc>
      </w:tr>
      <w:tr w:rsidR="00B13D7F" w:rsidRPr="00B13D7F" w14:paraId="4C2C64C2" w14:textId="28887F3E" w:rsidTr="007A6E41">
        <w:trPr>
          <w:trHeight w:val="300"/>
          <w:jc w:val="center"/>
        </w:trPr>
        <w:tc>
          <w:tcPr>
            <w:tcW w:w="2122" w:type="dxa"/>
            <w:noWrap/>
            <w:hideMark/>
          </w:tcPr>
          <w:p w14:paraId="0CE0741B" w14:textId="77777777" w:rsidR="00B13D7F" w:rsidRPr="00B13D7F" w:rsidRDefault="00B13D7F" w:rsidP="007A6E41">
            <w:pPr>
              <w:spacing w:line="240" w:lineRule="auto"/>
            </w:pPr>
            <w:proofErr w:type="spellStart"/>
            <w:r w:rsidRPr="00B13D7F">
              <w:t>онмк</w:t>
            </w:r>
            <w:proofErr w:type="spellEnd"/>
            <w:r w:rsidRPr="00B13D7F">
              <w:t xml:space="preserve"> по</w:t>
            </w:r>
          </w:p>
        </w:tc>
        <w:tc>
          <w:tcPr>
            <w:tcW w:w="2126" w:type="dxa"/>
            <w:noWrap/>
            <w:hideMark/>
          </w:tcPr>
          <w:p w14:paraId="19D2EF20" w14:textId="77777777" w:rsidR="00B13D7F" w:rsidRPr="00B13D7F" w:rsidRDefault="00B13D7F" w:rsidP="007A6E41">
            <w:pPr>
              <w:spacing w:line="240" w:lineRule="auto"/>
              <w:jc w:val="right"/>
            </w:pPr>
            <w:r w:rsidRPr="00B13D7F">
              <w:t>0,023</w:t>
            </w:r>
          </w:p>
        </w:tc>
        <w:tc>
          <w:tcPr>
            <w:tcW w:w="858" w:type="dxa"/>
          </w:tcPr>
          <w:p w14:paraId="17864079" w14:textId="43208AEC" w:rsidR="00B13D7F" w:rsidRPr="00B13D7F" w:rsidRDefault="00B13D7F" w:rsidP="007A6E41">
            <w:pPr>
              <w:spacing w:line="240" w:lineRule="auto"/>
              <w:jc w:val="right"/>
            </w:pPr>
            <w:r>
              <w:t>1</w:t>
            </w:r>
          </w:p>
        </w:tc>
      </w:tr>
      <w:tr w:rsidR="00B13D7F" w:rsidRPr="00B13D7F" w14:paraId="0BD7289A" w14:textId="1464185C" w:rsidTr="007A6E41">
        <w:trPr>
          <w:trHeight w:val="300"/>
          <w:jc w:val="center"/>
        </w:trPr>
        <w:tc>
          <w:tcPr>
            <w:tcW w:w="2122" w:type="dxa"/>
            <w:noWrap/>
            <w:hideMark/>
          </w:tcPr>
          <w:p w14:paraId="5E2240EA" w14:textId="77777777" w:rsidR="00B13D7F" w:rsidRPr="00B13D7F" w:rsidRDefault="00B13D7F" w:rsidP="007A6E41">
            <w:pPr>
              <w:spacing w:line="240" w:lineRule="auto"/>
            </w:pPr>
            <w:r w:rsidRPr="00B13D7F">
              <w:lastRenderedPageBreak/>
              <w:t>отмечать</w:t>
            </w:r>
          </w:p>
        </w:tc>
        <w:tc>
          <w:tcPr>
            <w:tcW w:w="2126" w:type="dxa"/>
            <w:noWrap/>
            <w:hideMark/>
          </w:tcPr>
          <w:p w14:paraId="63213410" w14:textId="77777777" w:rsidR="00B13D7F" w:rsidRPr="00B13D7F" w:rsidRDefault="00B13D7F" w:rsidP="007A6E41">
            <w:pPr>
              <w:spacing w:line="240" w:lineRule="auto"/>
              <w:jc w:val="right"/>
            </w:pPr>
            <w:r w:rsidRPr="00B13D7F">
              <w:t>0,021</w:t>
            </w:r>
          </w:p>
        </w:tc>
        <w:tc>
          <w:tcPr>
            <w:tcW w:w="858" w:type="dxa"/>
          </w:tcPr>
          <w:p w14:paraId="5F072FF3" w14:textId="5589BF33" w:rsidR="00B13D7F" w:rsidRPr="00B13D7F" w:rsidRDefault="00B13D7F" w:rsidP="007A6E41">
            <w:pPr>
              <w:spacing w:line="240" w:lineRule="auto"/>
              <w:jc w:val="right"/>
            </w:pPr>
            <w:r>
              <w:t>-1</w:t>
            </w:r>
          </w:p>
        </w:tc>
      </w:tr>
      <w:tr w:rsidR="00B13D7F" w:rsidRPr="00B13D7F" w14:paraId="75E9BDBF" w14:textId="5A8A46B5" w:rsidTr="007A6E41">
        <w:trPr>
          <w:trHeight w:val="300"/>
          <w:jc w:val="center"/>
        </w:trPr>
        <w:tc>
          <w:tcPr>
            <w:tcW w:w="2122" w:type="dxa"/>
            <w:noWrap/>
            <w:hideMark/>
          </w:tcPr>
          <w:p w14:paraId="00282165" w14:textId="77777777" w:rsidR="00B13D7F" w:rsidRPr="00B13D7F" w:rsidRDefault="00B13D7F" w:rsidP="007A6E41">
            <w:pPr>
              <w:spacing w:line="240" w:lineRule="auto"/>
            </w:pPr>
            <w:proofErr w:type="spellStart"/>
            <w:r w:rsidRPr="00B13D7F">
              <w:t>онмк</w:t>
            </w:r>
            <w:proofErr w:type="spellEnd"/>
            <w:r w:rsidRPr="00B13D7F">
              <w:t xml:space="preserve"> не</w:t>
            </w:r>
          </w:p>
        </w:tc>
        <w:tc>
          <w:tcPr>
            <w:tcW w:w="2126" w:type="dxa"/>
            <w:noWrap/>
            <w:hideMark/>
          </w:tcPr>
          <w:p w14:paraId="1E95DA70" w14:textId="77777777" w:rsidR="00B13D7F" w:rsidRPr="00B13D7F" w:rsidRDefault="00B13D7F" w:rsidP="007A6E41">
            <w:pPr>
              <w:spacing w:line="240" w:lineRule="auto"/>
              <w:jc w:val="right"/>
            </w:pPr>
            <w:r w:rsidRPr="00B13D7F">
              <w:t>0,019</w:t>
            </w:r>
          </w:p>
        </w:tc>
        <w:tc>
          <w:tcPr>
            <w:tcW w:w="858" w:type="dxa"/>
          </w:tcPr>
          <w:p w14:paraId="05C7821F" w14:textId="40F6E456" w:rsidR="00B13D7F" w:rsidRPr="00B13D7F" w:rsidRDefault="00B13D7F" w:rsidP="007A6E41">
            <w:pPr>
              <w:spacing w:line="240" w:lineRule="auto"/>
              <w:jc w:val="right"/>
            </w:pPr>
            <w:r>
              <w:t>-1</w:t>
            </w:r>
          </w:p>
        </w:tc>
      </w:tr>
      <w:tr w:rsidR="00B13D7F" w:rsidRPr="00B13D7F" w14:paraId="5BC9273F" w14:textId="4DCFE959" w:rsidTr="007A6E41">
        <w:trPr>
          <w:trHeight w:val="300"/>
          <w:jc w:val="center"/>
        </w:trPr>
        <w:tc>
          <w:tcPr>
            <w:tcW w:w="2122" w:type="dxa"/>
            <w:noWrap/>
            <w:hideMark/>
          </w:tcPr>
          <w:p w14:paraId="6BE65C73" w14:textId="77777777" w:rsidR="00B13D7F" w:rsidRPr="00B13D7F" w:rsidRDefault="00B13D7F" w:rsidP="007A6E41">
            <w:pPr>
              <w:spacing w:line="240" w:lineRule="auto"/>
            </w:pPr>
            <w:r w:rsidRPr="00B13D7F">
              <w:t xml:space="preserve">отрицать </w:t>
            </w:r>
            <w:proofErr w:type="spellStart"/>
            <w:r w:rsidRPr="00B13D7F">
              <w:t>онмк</w:t>
            </w:r>
            <w:proofErr w:type="spellEnd"/>
          </w:p>
        </w:tc>
        <w:tc>
          <w:tcPr>
            <w:tcW w:w="2126" w:type="dxa"/>
            <w:noWrap/>
            <w:hideMark/>
          </w:tcPr>
          <w:p w14:paraId="7F758DAD" w14:textId="77777777" w:rsidR="00B13D7F" w:rsidRPr="00B13D7F" w:rsidRDefault="00B13D7F" w:rsidP="007A6E41">
            <w:pPr>
              <w:spacing w:line="240" w:lineRule="auto"/>
              <w:jc w:val="right"/>
            </w:pPr>
            <w:r w:rsidRPr="00B13D7F">
              <w:t>0,017</w:t>
            </w:r>
          </w:p>
        </w:tc>
        <w:tc>
          <w:tcPr>
            <w:tcW w:w="858" w:type="dxa"/>
          </w:tcPr>
          <w:p w14:paraId="3C37DA6B" w14:textId="287C91A0" w:rsidR="00B13D7F" w:rsidRPr="00B13D7F" w:rsidRDefault="00B13D7F" w:rsidP="007A6E41">
            <w:pPr>
              <w:spacing w:line="240" w:lineRule="auto"/>
              <w:jc w:val="right"/>
            </w:pPr>
            <w:r>
              <w:t>-1</w:t>
            </w:r>
          </w:p>
        </w:tc>
      </w:tr>
      <w:tr w:rsidR="00B13D7F" w:rsidRPr="00B13D7F" w14:paraId="4A139D9F" w14:textId="77777777" w:rsidTr="007A6E41">
        <w:trPr>
          <w:trHeight w:val="300"/>
          <w:jc w:val="center"/>
        </w:trPr>
        <w:tc>
          <w:tcPr>
            <w:tcW w:w="2122" w:type="dxa"/>
            <w:noWrap/>
          </w:tcPr>
          <w:p w14:paraId="7888C614" w14:textId="1E74DF0F" w:rsidR="00B13D7F" w:rsidRPr="00B13D7F" w:rsidRDefault="00B13D7F" w:rsidP="007A6E41">
            <w:pPr>
              <w:spacing w:line="240" w:lineRule="auto"/>
            </w:pPr>
            <w:proofErr w:type="gramStart"/>
            <w:r w:rsidRPr="00B13D7F">
              <w:t>без клиника</w:t>
            </w:r>
            <w:proofErr w:type="gramEnd"/>
          </w:p>
        </w:tc>
        <w:tc>
          <w:tcPr>
            <w:tcW w:w="2126" w:type="dxa"/>
            <w:noWrap/>
          </w:tcPr>
          <w:p w14:paraId="3223F364" w14:textId="387C9535" w:rsidR="00B13D7F" w:rsidRPr="00B13D7F" w:rsidRDefault="00B13D7F" w:rsidP="007A6E41">
            <w:pPr>
              <w:spacing w:line="240" w:lineRule="auto"/>
              <w:jc w:val="right"/>
            </w:pPr>
            <w:r w:rsidRPr="00B13D7F">
              <w:t>0,016</w:t>
            </w:r>
          </w:p>
        </w:tc>
        <w:tc>
          <w:tcPr>
            <w:tcW w:w="858" w:type="dxa"/>
          </w:tcPr>
          <w:p w14:paraId="283D1321" w14:textId="3BFBAABE" w:rsidR="00B13D7F" w:rsidRDefault="00B13D7F" w:rsidP="007A6E41">
            <w:pPr>
              <w:spacing w:line="240" w:lineRule="auto"/>
              <w:jc w:val="right"/>
            </w:pPr>
            <w:r>
              <w:t>-1</w:t>
            </w:r>
          </w:p>
        </w:tc>
      </w:tr>
    </w:tbl>
    <w:p w14:paraId="242DA5E6" w14:textId="06FACFF0" w:rsidR="00B13D7F" w:rsidRDefault="00B13D7F" w:rsidP="00CD3CA0"/>
    <w:p w14:paraId="771FD907" w14:textId="0F4D2314" w:rsidR="007A6E41" w:rsidRDefault="007A6E41" w:rsidP="007A6E41">
      <w:pPr>
        <w:pStyle w:val="a4"/>
        <w:jc w:val="left"/>
      </w:pPr>
      <w:r>
        <w:t xml:space="preserve">Таблица </w:t>
      </w:r>
      <w:r>
        <w:fldChar w:fldCharType="begin"/>
      </w:r>
      <w:r>
        <w:instrText xml:space="preserve"> SEQ Таблица \* ARABIC </w:instrText>
      </w:r>
      <w:r>
        <w:fldChar w:fldCharType="separate"/>
      </w:r>
      <w:r>
        <w:rPr>
          <w:noProof/>
        </w:rPr>
        <w:t>3</w:t>
      </w:r>
      <w:r>
        <w:fldChar w:fldCharType="end"/>
      </w:r>
      <w:r>
        <w:t xml:space="preserve"> – 10 наиболее значимых слов и словосочетаний для определения АГ в тексте анамнеза и классы, на которые эти слова указывают</w:t>
      </w:r>
    </w:p>
    <w:tbl>
      <w:tblPr>
        <w:tblStyle w:val="a3"/>
        <w:tblW w:w="5106" w:type="dxa"/>
        <w:jc w:val="center"/>
        <w:tblLook w:val="04A0" w:firstRow="1" w:lastRow="0" w:firstColumn="1" w:lastColumn="0" w:noHBand="0" w:noVBand="1"/>
      </w:tblPr>
      <w:tblGrid>
        <w:gridCol w:w="2122"/>
        <w:gridCol w:w="2126"/>
        <w:gridCol w:w="850"/>
        <w:gridCol w:w="8"/>
      </w:tblGrid>
      <w:tr w:rsidR="007A6E41" w:rsidRPr="00D8327C" w14:paraId="51EF9C88" w14:textId="77777777" w:rsidTr="007A6E41">
        <w:trPr>
          <w:jc w:val="center"/>
        </w:trPr>
        <w:tc>
          <w:tcPr>
            <w:tcW w:w="2122" w:type="dxa"/>
          </w:tcPr>
          <w:p w14:paraId="4CAA0A9A" w14:textId="77777777" w:rsidR="007A6E41" w:rsidRPr="00D8327C" w:rsidRDefault="007A6E41" w:rsidP="007A6E41">
            <w:pPr>
              <w:spacing w:line="240" w:lineRule="auto"/>
              <w:rPr>
                <w:b/>
              </w:rPr>
            </w:pPr>
            <w:r w:rsidRPr="00D8327C">
              <w:rPr>
                <w:b/>
              </w:rPr>
              <w:t>Слово или фраза</w:t>
            </w:r>
          </w:p>
        </w:tc>
        <w:tc>
          <w:tcPr>
            <w:tcW w:w="2126" w:type="dxa"/>
          </w:tcPr>
          <w:p w14:paraId="3265890B" w14:textId="77777777" w:rsidR="007A6E41" w:rsidRPr="00D8327C" w:rsidRDefault="007A6E41" w:rsidP="007A6E41">
            <w:pPr>
              <w:spacing w:line="240" w:lineRule="auto"/>
              <w:rPr>
                <w:b/>
              </w:rPr>
            </w:pPr>
            <w:r w:rsidRPr="00D8327C">
              <w:rPr>
                <w:b/>
              </w:rPr>
              <w:t>Значимость для классификатора</w:t>
            </w:r>
          </w:p>
        </w:tc>
        <w:tc>
          <w:tcPr>
            <w:tcW w:w="858" w:type="dxa"/>
            <w:gridSpan w:val="2"/>
          </w:tcPr>
          <w:p w14:paraId="7C472F54" w14:textId="77777777" w:rsidR="007A6E41" w:rsidRPr="00D8327C" w:rsidRDefault="007A6E41" w:rsidP="007A6E41">
            <w:pPr>
              <w:spacing w:line="240" w:lineRule="auto"/>
              <w:rPr>
                <w:b/>
              </w:rPr>
            </w:pPr>
            <w:r>
              <w:rPr>
                <w:b/>
              </w:rPr>
              <w:t>Класс</w:t>
            </w:r>
          </w:p>
        </w:tc>
      </w:tr>
      <w:tr w:rsidR="007A6E41" w:rsidRPr="00B13D7F" w14:paraId="3A04E4EC" w14:textId="77777777" w:rsidTr="007A6E41">
        <w:trPr>
          <w:gridAfter w:val="1"/>
          <w:wAfter w:w="8" w:type="dxa"/>
          <w:trHeight w:val="300"/>
          <w:jc w:val="center"/>
        </w:trPr>
        <w:tc>
          <w:tcPr>
            <w:tcW w:w="2122" w:type="dxa"/>
            <w:noWrap/>
            <w:hideMark/>
          </w:tcPr>
          <w:p w14:paraId="7054E059" w14:textId="77777777" w:rsidR="007A6E41" w:rsidRPr="00B13D7F" w:rsidRDefault="007A6E41" w:rsidP="007A6E41">
            <w:pPr>
              <w:spacing w:line="240" w:lineRule="auto"/>
            </w:pPr>
            <w:r w:rsidRPr="00B13D7F">
              <w:t>ад отрицать</w:t>
            </w:r>
          </w:p>
        </w:tc>
        <w:tc>
          <w:tcPr>
            <w:tcW w:w="2126" w:type="dxa"/>
            <w:noWrap/>
            <w:hideMark/>
          </w:tcPr>
          <w:p w14:paraId="032FB976" w14:textId="77777777" w:rsidR="007A6E41" w:rsidRPr="00B13D7F" w:rsidRDefault="007A6E41" w:rsidP="007A6E41">
            <w:pPr>
              <w:spacing w:line="240" w:lineRule="auto"/>
              <w:jc w:val="right"/>
            </w:pPr>
            <w:r w:rsidRPr="00B13D7F">
              <w:t>0,036</w:t>
            </w:r>
          </w:p>
        </w:tc>
        <w:tc>
          <w:tcPr>
            <w:tcW w:w="850" w:type="dxa"/>
          </w:tcPr>
          <w:p w14:paraId="58EA928C" w14:textId="77777777" w:rsidR="007A6E41" w:rsidRPr="00B13D7F" w:rsidRDefault="007A6E41" w:rsidP="007A6E41">
            <w:pPr>
              <w:spacing w:line="240" w:lineRule="auto"/>
              <w:jc w:val="right"/>
            </w:pPr>
            <w:r>
              <w:t>-1</w:t>
            </w:r>
          </w:p>
        </w:tc>
      </w:tr>
      <w:tr w:rsidR="007A6E41" w:rsidRPr="00B13D7F" w14:paraId="067225B7" w14:textId="77777777" w:rsidTr="007A6E41">
        <w:trPr>
          <w:gridAfter w:val="1"/>
          <w:wAfter w:w="8" w:type="dxa"/>
          <w:trHeight w:val="300"/>
          <w:jc w:val="center"/>
        </w:trPr>
        <w:tc>
          <w:tcPr>
            <w:tcW w:w="2122" w:type="dxa"/>
            <w:noWrap/>
            <w:hideMark/>
          </w:tcPr>
          <w:p w14:paraId="68CEF6F7" w14:textId="77777777" w:rsidR="007A6E41" w:rsidRPr="00B13D7F" w:rsidRDefault="007A6E41" w:rsidP="007A6E41">
            <w:pPr>
              <w:spacing w:line="240" w:lineRule="auto"/>
            </w:pPr>
            <w:proofErr w:type="gramStart"/>
            <w:r w:rsidRPr="00B13D7F">
              <w:t>без анамнез</w:t>
            </w:r>
            <w:proofErr w:type="gramEnd"/>
          </w:p>
        </w:tc>
        <w:tc>
          <w:tcPr>
            <w:tcW w:w="2126" w:type="dxa"/>
            <w:noWrap/>
            <w:hideMark/>
          </w:tcPr>
          <w:p w14:paraId="66E55BA3" w14:textId="77777777" w:rsidR="007A6E41" w:rsidRPr="00B13D7F" w:rsidRDefault="007A6E41" w:rsidP="007A6E41">
            <w:pPr>
              <w:spacing w:line="240" w:lineRule="auto"/>
              <w:jc w:val="right"/>
            </w:pPr>
            <w:r w:rsidRPr="00B13D7F">
              <w:t>0,036</w:t>
            </w:r>
          </w:p>
        </w:tc>
        <w:tc>
          <w:tcPr>
            <w:tcW w:w="850" w:type="dxa"/>
          </w:tcPr>
          <w:p w14:paraId="07F96A5D" w14:textId="77777777" w:rsidR="007A6E41" w:rsidRPr="00B13D7F" w:rsidRDefault="007A6E41" w:rsidP="007A6E41">
            <w:pPr>
              <w:spacing w:line="240" w:lineRule="auto"/>
              <w:jc w:val="right"/>
            </w:pPr>
            <w:r>
              <w:t>-1</w:t>
            </w:r>
          </w:p>
        </w:tc>
      </w:tr>
      <w:tr w:rsidR="007A6E41" w:rsidRPr="00B13D7F" w14:paraId="0A27BB9D" w14:textId="77777777" w:rsidTr="007A6E41">
        <w:trPr>
          <w:gridAfter w:val="1"/>
          <w:wAfter w:w="8" w:type="dxa"/>
          <w:trHeight w:val="300"/>
          <w:jc w:val="center"/>
        </w:trPr>
        <w:tc>
          <w:tcPr>
            <w:tcW w:w="2122" w:type="dxa"/>
            <w:noWrap/>
            <w:hideMark/>
          </w:tcPr>
          <w:p w14:paraId="641D8C3C" w14:textId="77777777" w:rsidR="007A6E41" w:rsidRPr="00B13D7F" w:rsidRDefault="007A6E41" w:rsidP="007A6E41">
            <w:pPr>
              <w:spacing w:line="240" w:lineRule="auto"/>
            </w:pPr>
            <w:proofErr w:type="spellStart"/>
            <w:r w:rsidRPr="00B13D7F">
              <w:t>аг</w:t>
            </w:r>
            <w:proofErr w:type="spellEnd"/>
            <w:r w:rsidRPr="00B13D7F">
              <w:t xml:space="preserve"> нет</w:t>
            </w:r>
          </w:p>
        </w:tc>
        <w:tc>
          <w:tcPr>
            <w:tcW w:w="2126" w:type="dxa"/>
            <w:noWrap/>
            <w:hideMark/>
          </w:tcPr>
          <w:p w14:paraId="5C99C0D2" w14:textId="77777777" w:rsidR="007A6E41" w:rsidRPr="00B13D7F" w:rsidRDefault="007A6E41" w:rsidP="007A6E41">
            <w:pPr>
              <w:spacing w:line="240" w:lineRule="auto"/>
              <w:jc w:val="right"/>
            </w:pPr>
            <w:r w:rsidRPr="00B13D7F">
              <w:t>0,029</w:t>
            </w:r>
          </w:p>
        </w:tc>
        <w:tc>
          <w:tcPr>
            <w:tcW w:w="850" w:type="dxa"/>
          </w:tcPr>
          <w:p w14:paraId="11872F21" w14:textId="77777777" w:rsidR="007A6E41" w:rsidRPr="00B13D7F" w:rsidRDefault="007A6E41" w:rsidP="007A6E41">
            <w:pPr>
              <w:spacing w:line="240" w:lineRule="auto"/>
              <w:jc w:val="right"/>
            </w:pPr>
            <w:r>
              <w:t>-1</w:t>
            </w:r>
          </w:p>
        </w:tc>
      </w:tr>
      <w:tr w:rsidR="007A6E41" w:rsidRPr="00B13D7F" w14:paraId="6EBD1E58" w14:textId="77777777" w:rsidTr="007A6E41">
        <w:trPr>
          <w:gridAfter w:val="1"/>
          <w:wAfter w:w="8" w:type="dxa"/>
          <w:trHeight w:val="300"/>
          <w:jc w:val="center"/>
        </w:trPr>
        <w:tc>
          <w:tcPr>
            <w:tcW w:w="2122" w:type="dxa"/>
            <w:noWrap/>
            <w:hideMark/>
          </w:tcPr>
          <w:p w14:paraId="31553979" w14:textId="77777777" w:rsidR="007A6E41" w:rsidRPr="00B13D7F" w:rsidRDefault="007A6E41" w:rsidP="007A6E41">
            <w:pPr>
              <w:spacing w:line="240" w:lineRule="auto"/>
            </w:pPr>
            <w:proofErr w:type="spellStart"/>
            <w:r w:rsidRPr="00B13D7F">
              <w:t>гб</w:t>
            </w:r>
            <w:proofErr w:type="spellEnd"/>
            <w:r w:rsidRPr="00B13D7F">
              <w:t xml:space="preserve"> отрицать</w:t>
            </w:r>
          </w:p>
        </w:tc>
        <w:tc>
          <w:tcPr>
            <w:tcW w:w="2126" w:type="dxa"/>
            <w:noWrap/>
            <w:hideMark/>
          </w:tcPr>
          <w:p w14:paraId="2D8A9CB7" w14:textId="77777777" w:rsidR="007A6E41" w:rsidRPr="00B13D7F" w:rsidRDefault="007A6E41" w:rsidP="007A6E41">
            <w:pPr>
              <w:spacing w:line="240" w:lineRule="auto"/>
              <w:jc w:val="right"/>
            </w:pPr>
            <w:r w:rsidRPr="00B13D7F">
              <w:t>0,027</w:t>
            </w:r>
          </w:p>
        </w:tc>
        <w:tc>
          <w:tcPr>
            <w:tcW w:w="850" w:type="dxa"/>
          </w:tcPr>
          <w:p w14:paraId="39AAF671" w14:textId="77777777" w:rsidR="007A6E41" w:rsidRPr="00B13D7F" w:rsidRDefault="007A6E41" w:rsidP="007A6E41">
            <w:pPr>
              <w:spacing w:line="240" w:lineRule="auto"/>
              <w:jc w:val="right"/>
            </w:pPr>
            <w:r>
              <w:t>-1</w:t>
            </w:r>
          </w:p>
        </w:tc>
      </w:tr>
      <w:tr w:rsidR="007A6E41" w:rsidRPr="00B13D7F" w14:paraId="5E46E2C5" w14:textId="77777777" w:rsidTr="007A6E41">
        <w:trPr>
          <w:gridAfter w:val="1"/>
          <w:wAfter w:w="8" w:type="dxa"/>
          <w:trHeight w:val="300"/>
          <w:jc w:val="center"/>
        </w:trPr>
        <w:tc>
          <w:tcPr>
            <w:tcW w:w="2122" w:type="dxa"/>
            <w:noWrap/>
            <w:hideMark/>
          </w:tcPr>
          <w:p w14:paraId="6842193E" w14:textId="77777777" w:rsidR="007A6E41" w:rsidRPr="00B13D7F" w:rsidRDefault="007A6E41" w:rsidP="007A6E41">
            <w:pPr>
              <w:spacing w:line="240" w:lineRule="auto"/>
            </w:pPr>
            <w:r w:rsidRPr="00B13D7F">
              <w:t>длительный</w:t>
            </w:r>
          </w:p>
        </w:tc>
        <w:tc>
          <w:tcPr>
            <w:tcW w:w="2126" w:type="dxa"/>
            <w:noWrap/>
            <w:hideMark/>
          </w:tcPr>
          <w:p w14:paraId="4ACF425B" w14:textId="77777777" w:rsidR="007A6E41" w:rsidRPr="00B13D7F" w:rsidRDefault="007A6E41" w:rsidP="007A6E41">
            <w:pPr>
              <w:spacing w:line="240" w:lineRule="auto"/>
              <w:jc w:val="right"/>
            </w:pPr>
            <w:r w:rsidRPr="00B13D7F">
              <w:t>0,024</w:t>
            </w:r>
          </w:p>
        </w:tc>
        <w:tc>
          <w:tcPr>
            <w:tcW w:w="850" w:type="dxa"/>
          </w:tcPr>
          <w:p w14:paraId="0C3166F1" w14:textId="77777777" w:rsidR="007A6E41" w:rsidRPr="00B13D7F" w:rsidRDefault="007A6E41" w:rsidP="007A6E41">
            <w:pPr>
              <w:spacing w:line="240" w:lineRule="auto"/>
              <w:jc w:val="right"/>
            </w:pPr>
            <w:r>
              <w:t>1</w:t>
            </w:r>
          </w:p>
        </w:tc>
      </w:tr>
      <w:tr w:rsidR="007A6E41" w:rsidRPr="00B13D7F" w14:paraId="73B644DC" w14:textId="77777777" w:rsidTr="007A6E41">
        <w:trPr>
          <w:gridAfter w:val="1"/>
          <w:wAfter w:w="8" w:type="dxa"/>
          <w:trHeight w:val="300"/>
          <w:jc w:val="center"/>
        </w:trPr>
        <w:tc>
          <w:tcPr>
            <w:tcW w:w="2122" w:type="dxa"/>
            <w:noWrap/>
            <w:hideMark/>
          </w:tcPr>
          <w:p w14:paraId="60769ABF" w14:textId="77777777" w:rsidR="007A6E41" w:rsidRPr="00B13D7F" w:rsidRDefault="007A6E41" w:rsidP="007A6E41">
            <w:pPr>
              <w:spacing w:line="240" w:lineRule="auto"/>
            </w:pPr>
            <w:r w:rsidRPr="00B13D7F">
              <w:t>ад</w:t>
            </w:r>
          </w:p>
        </w:tc>
        <w:tc>
          <w:tcPr>
            <w:tcW w:w="2126" w:type="dxa"/>
            <w:noWrap/>
            <w:hideMark/>
          </w:tcPr>
          <w:p w14:paraId="411B82E7" w14:textId="77777777" w:rsidR="007A6E41" w:rsidRPr="00B13D7F" w:rsidRDefault="007A6E41" w:rsidP="007A6E41">
            <w:pPr>
              <w:spacing w:line="240" w:lineRule="auto"/>
              <w:jc w:val="right"/>
            </w:pPr>
            <w:r w:rsidRPr="00B13D7F">
              <w:t>0,023</w:t>
            </w:r>
          </w:p>
        </w:tc>
        <w:tc>
          <w:tcPr>
            <w:tcW w:w="850" w:type="dxa"/>
          </w:tcPr>
          <w:p w14:paraId="5779B8E0" w14:textId="77777777" w:rsidR="007A6E41" w:rsidRPr="00B13D7F" w:rsidRDefault="007A6E41" w:rsidP="007A6E41">
            <w:pPr>
              <w:spacing w:line="240" w:lineRule="auto"/>
              <w:jc w:val="right"/>
            </w:pPr>
            <w:r>
              <w:t>1</w:t>
            </w:r>
          </w:p>
        </w:tc>
      </w:tr>
      <w:tr w:rsidR="007A6E41" w:rsidRPr="00B13D7F" w14:paraId="295ED1DF" w14:textId="77777777" w:rsidTr="007A6E41">
        <w:trPr>
          <w:gridAfter w:val="1"/>
          <w:wAfter w:w="8" w:type="dxa"/>
          <w:trHeight w:val="300"/>
          <w:jc w:val="center"/>
        </w:trPr>
        <w:tc>
          <w:tcPr>
            <w:tcW w:w="2122" w:type="dxa"/>
            <w:noWrap/>
            <w:hideMark/>
          </w:tcPr>
          <w:p w14:paraId="327CA3CF" w14:textId="77777777" w:rsidR="007A6E41" w:rsidRPr="00B13D7F" w:rsidRDefault="007A6E41" w:rsidP="007A6E41">
            <w:pPr>
              <w:spacing w:line="240" w:lineRule="auto"/>
            </w:pPr>
            <w:r w:rsidRPr="00B13D7F">
              <w:t>не повышаться</w:t>
            </w:r>
          </w:p>
        </w:tc>
        <w:tc>
          <w:tcPr>
            <w:tcW w:w="2126" w:type="dxa"/>
            <w:noWrap/>
            <w:hideMark/>
          </w:tcPr>
          <w:p w14:paraId="72A507A6" w14:textId="77777777" w:rsidR="007A6E41" w:rsidRPr="00B13D7F" w:rsidRDefault="007A6E41" w:rsidP="007A6E41">
            <w:pPr>
              <w:spacing w:line="240" w:lineRule="auto"/>
              <w:jc w:val="right"/>
            </w:pPr>
            <w:r w:rsidRPr="00B13D7F">
              <w:t>0,021</w:t>
            </w:r>
          </w:p>
        </w:tc>
        <w:tc>
          <w:tcPr>
            <w:tcW w:w="850" w:type="dxa"/>
          </w:tcPr>
          <w:p w14:paraId="40236823" w14:textId="77777777" w:rsidR="007A6E41" w:rsidRPr="00B13D7F" w:rsidRDefault="007A6E41" w:rsidP="007A6E41">
            <w:pPr>
              <w:spacing w:line="240" w:lineRule="auto"/>
              <w:jc w:val="right"/>
            </w:pPr>
            <w:r>
              <w:t>-1</w:t>
            </w:r>
          </w:p>
        </w:tc>
      </w:tr>
      <w:tr w:rsidR="007A6E41" w:rsidRPr="00B13D7F" w14:paraId="28BDE04E" w14:textId="77777777" w:rsidTr="007A6E41">
        <w:trPr>
          <w:gridAfter w:val="1"/>
          <w:wAfter w:w="8" w:type="dxa"/>
          <w:trHeight w:val="300"/>
          <w:jc w:val="center"/>
        </w:trPr>
        <w:tc>
          <w:tcPr>
            <w:tcW w:w="2122" w:type="dxa"/>
            <w:noWrap/>
            <w:hideMark/>
          </w:tcPr>
          <w:p w14:paraId="35A6129B" w14:textId="77777777" w:rsidR="007A6E41" w:rsidRPr="00B13D7F" w:rsidRDefault="007A6E41" w:rsidP="007A6E41">
            <w:pPr>
              <w:spacing w:line="240" w:lineRule="auto"/>
            </w:pPr>
            <w:r w:rsidRPr="00B13D7F">
              <w:t>отрицать</w:t>
            </w:r>
          </w:p>
        </w:tc>
        <w:tc>
          <w:tcPr>
            <w:tcW w:w="2126" w:type="dxa"/>
            <w:noWrap/>
            <w:hideMark/>
          </w:tcPr>
          <w:p w14:paraId="3F249FCC" w14:textId="77777777" w:rsidR="007A6E41" w:rsidRPr="00B13D7F" w:rsidRDefault="007A6E41" w:rsidP="007A6E41">
            <w:pPr>
              <w:spacing w:line="240" w:lineRule="auto"/>
              <w:jc w:val="right"/>
            </w:pPr>
            <w:r w:rsidRPr="00B13D7F">
              <w:t>0,021</w:t>
            </w:r>
          </w:p>
        </w:tc>
        <w:tc>
          <w:tcPr>
            <w:tcW w:w="850" w:type="dxa"/>
          </w:tcPr>
          <w:p w14:paraId="7B1326A1" w14:textId="77777777" w:rsidR="007A6E41" w:rsidRPr="00B13D7F" w:rsidRDefault="007A6E41" w:rsidP="007A6E41">
            <w:pPr>
              <w:spacing w:line="240" w:lineRule="auto"/>
              <w:jc w:val="right"/>
            </w:pPr>
            <w:r>
              <w:t>-1</w:t>
            </w:r>
          </w:p>
        </w:tc>
      </w:tr>
      <w:tr w:rsidR="007A6E41" w:rsidRPr="00B13D7F" w14:paraId="1FB82D8F" w14:textId="77777777" w:rsidTr="007A6E41">
        <w:trPr>
          <w:gridAfter w:val="1"/>
          <w:wAfter w:w="8" w:type="dxa"/>
          <w:trHeight w:val="300"/>
          <w:jc w:val="center"/>
        </w:trPr>
        <w:tc>
          <w:tcPr>
            <w:tcW w:w="2122" w:type="dxa"/>
            <w:noWrap/>
            <w:hideMark/>
          </w:tcPr>
          <w:p w14:paraId="1752E6E2" w14:textId="77777777" w:rsidR="007A6E41" w:rsidRPr="00B13D7F" w:rsidRDefault="007A6E41" w:rsidP="007A6E41">
            <w:pPr>
              <w:spacing w:line="240" w:lineRule="auto"/>
            </w:pPr>
            <w:proofErr w:type="spellStart"/>
            <w:r w:rsidRPr="00B13D7F">
              <w:t>аг</w:t>
            </w:r>
            <w:proofErr w:type="spellEnd"/>
            <w:r w:rsidRPr="00B13D7F">
              <w:t xml:space="preserve"> отрицать</w:t>
            </w:r>
          </w:p>
        </w:tc>
        <w:tc>
          <w:tcPr>
            <w:tcW w:w="2126" w:type="dxa"/>
            <w:noWrap/>
            <w:hideMark/>
          </w:tcPr>
          <w:p w14:paraId="627017B5" w14:textId="77777777" w:rsidR="007A6E41" w:rsidRPr="00B13D7F" w:rsidRDefault="007A6E41" w:rsidP="007A6E41">
            <w:pPr>
              <w:spacing w:line="240" w:lineRule="auto"/>
              <w:jc w:val="right"/>
            </w:pPr>
            <w:r w:rsidRPr="00B13D7F">
              <w:t>0,02</w:t>
            </w:r>
          </w:p>
        </w:tc>
        <w:tc>
          <w:tcPr>
            <w:tcW w:w="850" w:type="dxa"/>
          </w:tcPr>
          <w:p w14:paraId="014A7005" w14:textId="77777777" w:rsidR="007A6E41" w:rsidRPr="00B13D7F" w:rsidRDefault="007A6E41" w:rsidP="007A6E41">
            <w:pPr>
              <w:spacing w:line="240" w:lineRule="auto"/>
              <w:jc w:val="right"/>
            </w:pPr>
            <w:r>
              <w:t>-1</w:t>
            </w:r>
          </w:p>
        </w:tc>
      </w:tr>
      <w:tr w:rsidR="007A6E41" w:rsidRPr="00B13D7F" w14:paraId="5E097BB5" w14:textId="77777777" w:rsidTr="007A6E41">
        <w:trPr>
          <w:gridAfter w:val="1"/>
          <w:wAfter w:w="8" w:type="dxa"/>
          <w:trHeight w:val="300"/>
          <w:jc w:val="center"/>
        </w:trPr>
        <w:tc>
          <w:tcPr>
            <w:tcW w:w="2122" w:type="dxa"/>
            <w:noWrap/>
            <w:hideMark/>
          </w:tcPr>
          <w:p w14:paraId="77B89433" w14:textId="77777777" w:rsidR="007A6E41" w:rsidRPr="00B13D7F" w:rsidRDefault="007A6E41" w:rsidP="007A6E41">
            <w:pPr>
              <w:spacing w:line="240" w:lineRule="auto"/>
            </w:pPr>
            <w:r w:rsidRPr="00B13D7F">
              <w:t>гипертензия</w:t>
            </w:r>
          </w:p>
        </w:tc>
        <w:tc>
          <w:tcPr>
            <w:tcW w:w="2126" w:type="dxa"/>
            <w:noWrap/>
            <w:hideMark/>
          </w:tcPr>
          <w:p w14:paraId="7F1A5848" w14:textId="77777777" w:rsidR="007A6E41" w:rsidRPr="00B13D7F" w:rsidRDefault="007A6E41" w:rsidP="007A6E41">
            <w:pPr>
              <w:spacing w:line="240" w:lineRule="auto"/>
              <w:jc w:val="right"/>
            </w:pPr>
            <w:r w:rsidRPr="00B13D7F">
              <w:t>0,017</w:t>
            </w:r>
          </w:p>
        </w:tc>
        <w:tc>
          <w:tcPr>
            <w:tcW w:w="850" w:type="dxa"/>
          </w:tcPr>
          <w:p w14:paraId="30B9AC08" w14:textId="77777777" w:rsidR="007A6E41" w:rsidRPr="00B13D7F" w:rsidRDefault="007A6E41" w:rsidP="007A6E41">
            <w:pPr>
              <w:spacing w:line="240" w:lineRule="auto"/>
              <w:jc w:val="right"/>
            </w:pPr>
            <w:r>
              <w:t>1</w:t>
            </w:r>
          </w:p>
        </w:tc>
      </w:tr>
    </w:tbl>
    <w:p w14:paraId="2CDBAF90" w14:textId="77777777" w:rsidR="007A6E41" w:rsidRDefault="007A6E41" w:rsidP="007A6E41"/>
    <w:p w14:paraId="5F07E35B" w14:textId="396E161D" w:rsidR="007A6E41" w:rsidRDefault="007A6E41" w:rsidP="00CD3CA0">
      <w:r>
        <w:t xml:space="preserve">Предложенный подход для определения острых состояний и хронических заболеваний в тексте позволяет </w:t>
      </w:r>
      <w:r w:rsidR="00803888">
        <w:t xml:space="preserve">быстро и с высокой точностью находить нужные заболевания. Точность при поиске ОИМ, ОНМК и АГ колебалась в промежутке от 91 % до 97 % на тестовых множествах. При этом время выполнения всех преобразований текста, обучение модели и выполнение предсказаний занимает около 1,5 минут. Данный подход можно применять для текстов на естественном языке, если нет возможности, найти необходимое состояние </w:t>
      </w:r>
      <w:r w:rsidR="001A723F">
        <w:t>с помощью</w:t>
      </w:r>
      <w:r w:rsidR="00803888">
        <w:t xml:space="preserve"> ключевы</w:t>
      </w:r>
      <w:r w:rsidR="001A723F">
        <w:t>х</w:t>
      </w:r>
      <w:r w:rsidR="00803888">
        <w:t xml:space="preserve"> слов, так как может упоминаться не только наличие этого состояния, но и его отсутствие. Однако, </w:t>
      </w:r>
      <w:r w:rsidR="001A723F">
        <w:t>для обучения</w:t>
      </w:r>
      <w:r w:rsidR="00803888">
        <w:t xml:space="preserve"> модели необходимо разметить </w:t>
      </w:r>
      <w:r w:rsidR="001A723F">
        <w:t xml:space="preserve">вручную достаточное количество текстов. </w:t>
      </w:r>
    </w:p>
    <w:sectPr w:rsidR="007A6E4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147"/>
    <w:rsid w:val="00180941"/>
    <w:rsid w:val="001A723F"/>
    <w:rsid w:val="00221864"/>
    <w:rsid w:val="002C3147"/>
    <w:rsid w:val="002E374A"/>
    <w:rsid w:val="00347DEC"/>
    <w:rsid w:val="00370848"/>
    <w:rsid w:val="003D205D"/>
    <w:rsid w:val="00423E07"/>
    <w:rsid w:val="004E7A34"/>
    <w:rsid w:val="00561F63"/>
    <w:rsid w:val="005C77B3"/>
    <w:rsid w:val="0075614B"/>
    <w:rsid w:val="007A6E41"/>
    <w:rsid w:val="007B6C5F"/>
    <w:rsid w:val="00803888"/>
    <w:rsid w:val="008D38FB"/>
    <w:rsid w:val="0095308F"/>
    <w:rsid w:val="00975666"/>
    <w:rsid w:val="00983CFF"/>
    <w:rsid w:val="00A46A5F"/>
    <w:rsid w:val="00B13D7F"/>
    <w:rsid w:val="00B60249"/>
    <w:rsid w:val="00BA59A8"/>
    <w:rsid w:val="00BB578F"/>
    <w:rsid w:val="00C30C93"/>
    <w:rsid w:val="00C74B10"/>
    <w:rsid w:val="00C75971"/>
    <w:rsid w:val="00CD3CA0"/>
    <w:rsid w:val="00D8327C"/>
    <w:rsid w:val="00EA0C5E"/>
    <w:rsid w:val="00EC36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65069"/>
  <w15:chartTrackingRefBased/>
  <w15:docId w15:val="{75B7BC29-3508-445B-BA64-9F0CF263D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D3CA0"/>
    <w:pPr>
      <w:spacing w:after="0" w:line="360" w:lineRule="auto"/>
      <w:jc w:val="both"/>
    </w:pPr>
    <w:rPr>
      <w:rFonts w:ascii="Times New Roman" w:hAnsi="Times New Roman" w:cs="Times New Roman"/>
      <w:sz w:val="24"/>
      <w:szCs w:val="24"/>
    </w:rPr>
  </w:style>
  <w:style w:type="paragraph" w:styleId="1">
    <w:name w:val="heading 1"/>
    <w:basedOn w:val="a"/>
    <w:next w:val="a"/>
    <w:link w:val="10"/>
    <w:uiPriority w:val="9"/>
    <w:qFormat/>
    <w:rsid w:val="004E7A34"/>
    <w:pPr>
      <w:jc w:val="center"/>
      <w:outlineLvl w:val="0"/>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E7A34"/>
    <w:rPr>
      <w:rFonts w:ascii="Times New Roman" w:hAnsi="Times New Roman" w:cs="Times New Roman"/>
      <w:b/>
      <w:sz w:val="28"/>
      <w:szCs w:val="24"/>
    </w:rPr>
  </w:style>
  <w:style w:type="table" w:styleId="a3">
    <w:name w:val="Table Grid"/>
    <w:basedOn w:val="a1"/>
    <w:uiPriority w:val="39"/>
    <w:rsid w:val="00347D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caption"/>
    <w:basedOn w:val="a"/>
    <w:next w:val="a"/>
    <w:uiPriority w:val="35"/>
    <w:unhideWhenUsed/>
    <w:qFormat/>
    <w:rsid w:val="00C30C93"/>
    <w:pPr>
      <w:keepNext/>
      <w:spacing w:after="200" w:line="240" w:lineRule="auto"/>
    </w:pPr>
    <w:rPr>
      <w:iCs/>
    </w:rPr>
  </w:style>
  <w:style w:type="character" w:styleId="a5">
    <w:name w:val="Placeholder Text"/>
    <w:basedOn w:val="a0"/>
    <w:uiPriority w:val="99"/>
    <w:semiHidden/>
    <w:rsid w:val="005C77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69171">
      <w:bodyDiv w:val="1"/>
      <w:marLeft w:val="0"/>
      <w:marRight w:val="0"/>
      <w:marTop w:val="0"/>
      <w:marBottom w:val="0"/>
      <w:divBdr>
        <w:top w:val="none" w:sz="0" w:space="0" w:color="auto"/>
        <w:left w:val="none" w:sz="0" w:space="0" w:color="auto"/>
        <w:bottom w:val="none" w:sz="0" w:space="0" w:color="auto"/>
        <w:right w:val="none" w:sz="0" w:space="0" w:color="auto"/>
      </w:divBdr>
    </w:div>
    <w:div w:id="263072735">
      <w:bodyDiv w:val="1"/>
      <w:marLeft w:val="0"/>
      <w:marRight w:val="0"/>
      <w:marTop w:val="0"/>
      <w:marBottom w:val="0"/>
      <w:divBdr>
        <w:top w:val="none" w:sz="0" w:space="0" w:color="auto"/>
        <w:left w:val="none" w:sz="0" w:space="0" w:color="auto"/>
        <w:bottom w:val="none" w:sz="0" w:space="0" w:color="auto"/>
        <w:right w:val="none" w:sz="0" w:space="0" w:color="auto"/>
      </w:divBdr>
    </w:div>
    <w:div w:id="438186074">
      <w:bodyDiv w:val="1"/>
      <w:marLeft w:val="0"/>
      <w:marRight w:val="0"/>
      <w:marTop w:val="0"/>
      <w:marBottom w:val="0"/>
      <w:divBdr>
        <w:top w:val="none" w:sz="0" w:space="0" w:color="auto"/>
        <w:left w:val="none" w:sz="0" w:space="0" w:color="auto"/>
        <w:bottom w:val="none" w:sz="0" w:space="0" w:color="auto"/>
        <w:right w:val="none" w:sz="0" w:space="0" w:color="auto"/>
      </w:divBdr>
    </w:div>
    <w:div w:id="577178721">
      <w:bodyDiv w:val="1"/>
      <w:marLeft w:val="0"/>
      <w:marRight w:val="0"/>
      <w:marTop w:val="0"/>
      <w:marBottom w:val="0"/>
      <w:divBdr>
        <w:top w:val="none" w:sz="0" w:space="0" w:color="auto"/>
        <w:left w:val="none" w:sz="0" w:space="0" w:color="auto"/>
        <w:bottom w:val="none" w:sz="0" w:space="0" w:color="auto"/>
        <w:right w:val="none" w:sz="0" w:space="0" w:color="auto"/>
      </w:divBdr>
    </w:div>
    <w:div w:id="600186392">
      <w:bodyDiv w:val="1"/>
      <w:marLeft w:val="0"/>
      <w:marRight w:val="0"/>
      <w:marTop w:val="0"/>
      <w:marBottom w:val="0"/>
      <w:divBdr>
        <w:top w:val="none" w:sz="0" w:space="0" w:color="auto"/>
        <w:left w:val="none" w:sz="0" w:space="0" w:color="auto"/>
        <w:bottom w:val="none" w:sz="0" w:space="0" w:color="auto"/>
        <w:right w:val="none" w:sz="0" w:space="0" w:color="auto"/>
      </w:divBdr>
    </w:div>
    <w:div w:id="819423066">
      <w:bodyDiv w:val="1"/>
      <w:marLeft w:val="0"/>
      <w:marRight w:val="0"/>
      <w:marTop w:val="0"/>
      <w:marBottom w:val="0"/>
      <w:divBdr>
        <w:top w:val="none" w:sz="0" w:space="0" w:color="auto"/>
        <w:left w:val="none" w:sz="0" w:space="0" w:color="auto"/>
        <w:bottom w:val="none" w:sz="0" w:space="0" w:color="auto"/>
        <w:right w:val="none" w:sz="0" w:space="0" w:color="auto"/>
      </w:divBdr>
    </w:div>
    <w:div w:id="870650365">
      <w:bodyDiv w:val="1"/>
      <w:marLeft w:val="0"/>
      <w:marRight w:val="0"/>
      <w:marTop w:val="0"/>
      <w:marBottom w:val="0"/>
      <w:divBdr>
        <w:top w:val="none" w:sz="0" w:space="0" w:color="auto"/>
        <w:left w:val="none" w:sz="0" w:space="0" w:color="auto"/>
        <w:bottom w:val="none" w:sz="0" w:space="0" w:color="auto"/>
        <w:right w:val="none" w:sz="0" w:space="0" w:color="auto"/>
      </w:divBdr>
    </w:div>
    <w:div w:id="1024209719">
      <w:bodyDiv w:val="1"/>
      <w:marLeft w:val="0"/>
      <w:marRight w:val="0"/>
      <w:marTop w:val="0"/>
      <w:marBottom w:val="0"/>
      <w:divBdr>
        <w:top w:val="none" w:sz="0" w:space="0" w:color="auto"/>
        <w:left w:val="none" w:sz="0" w:space="0" w:color="auto"/>
        <w:bottom w:val="none" w:sz="0" w:space="0" w:color="auto"/>
        <w:right w:val="none" w:sz="0" w:space="0" w:color="auto"/>
      </w:divBdr>
    </w:div>
    <w:div w:id="1146050319">
      <w:bodyDiv w:val="1"/>
      <w:marLeft w:val="0"/>
      <w:marRight w:val="0"/>
      <w:marTop w:val="0"/>
      <w:marBottom w:val="0"/>
      <w:divBdr>
        <w:top w:val="none" w:sz="0" w:space="0" w:color="auto"/>
        <w:left w:val="none" w:sz="0" w:space="0" w:color="auto"/>
        <w:bottom w:val="none" w:sz="0" w:space="0" w:color="auto"/>
        <w:right w:val="none" w:sz="0" w:space="0" w:color="auto"/>
      </w:divBdr>
    </w:div>
    <w:div w:id="1273324067">
      <w:bodyDiv w:val="1"/>
      <w:marLeft w:val="0"/>
      <w:marRight w:val="0"/>
      <w:marTop w:val="0"/>
      <w:marBottom w:val="0"/>
      <w:divBdr>
        <w:top w:val="none" w:sz="0" w:space="0" w:color="auto"/>
        <w:left w:val="none" w:sz="0" w:space="0" w:color="auto"/>
        <w:bottom w:val="none" w:sz="0" w:space="0" w:color="auto"/>
        <w:right w:val="none" w:sz="0" w:space="0" w:color="auto"/>
      </w:divBdr>
    </w:div>
    <w:div w:id="1293704830">
      <w:bodyDiv w:val="1"/>
      <w:marLeft w:val="0"/>
      <w:marRight w:val="0"/>
      <w:marTop w:val="0"/>
      <w:marBottom w:val="0"/>
      <w:divBdr>
        <w:top w:val="none" w:sz="0" w:space="0" w:color="auto"/>
        <w:left w:val="none" w:sz="0" w:space="0" w:color="auto"/>
        <w:bottom w:val="none" w:sz="0" w:space="0" w:color="auto"/>
        <w:right w:val="none" w:sz="0" w:space="0" w:color="auto"/>
      </w:divBdr>
    </w:div>
    <w:div w:id="1531991074">
      <w:bodyDiv w:val="1"/>
      <w:marLeft w:val="0"/>
      <w:marRight w:val="0"/>
      <w:marTop w:val="0"/>
      <w:marBottom w:val="0"/>
      <w:divBdr>
        <w:top w:val="none" w:sz="0" w:space="0" w:color="auto"/>
        <w:left w:val="none" w:sz="0" w:space="0" w:color="auto"/>
        <w:bottom w:val="none" w:sz="0" w:space="0" w:color="auto"/>
        <w:right w:val="none" w:sz="0" w:space="0" w:color="auto"/>
      </w:divBdr>
    </w:div>
    <w:div w:id="1739740260">
      <w:bodyDiv w:val="1"/>
      <w:marLeft w:val="0"/>
      <w:marRight w:val="0"/>
      <w:marTop w:val="0"/>
      <w:marBottom w:val="0"/>
      <w:divBdr>
        <w:top w:val="none" w:sz="0" w:space="0" w:color="auto"/>
        <w:left w:val="none" w:sz="0" w:space="0" w:color="auto"/>
        <w:bottom w:val="none" w:sz="0" w:space="0" w:color="auto"/>
        <w:right w:val="none" w:sz="0" w:space="0" w:color="auto"/>
      </w:divBdr>
    </w:div>
    <w:div w:id="196523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E797A-ED50-49F8-8368-0857B86CE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4</Pages>
  <Words>1750</Words>
  <Characters>9981</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Функнер Анастасия Александровна</dc:creator>
  <cp:keywords/>
  <dc:description/>
  <cp:lastModifiedBy>Функнер Анастасия Александровна</cp:lastModifiedBy>
  <cp:revision>5</cp:revision>
  <dcterms:created xsi:type="dcterms:W3CDTF">2018-12-25T09:44:00Z</dcterms:created>
  <dcterms:modified xsi:type="dcterms:W3CDTF">2018-12-28T12:01:00Z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6th edition</vt:lpwstr>
  </property>
  <property fmtid="{D5CDD505-2E9C-101B-9397-08002B2CF9AE}" pid="7" name="Mendeley Recent Style Id 2_1">
    <vt:lpwstr>http://www.zotero.org/styles/chicago-author-date</vt:lpwstr>
  </property>
  <property fmtid="{D5CDD505-2E9C-101B-9397-08002B2CF9AE}" pid="8" name="Mendeley Recent Style Name 2_1">
    <vt:lpwstr>Chicago Manual of Style 16th edition (author-date)</vt:lpwstr>
  </property>
  <property fmtid="{D5CDD505-2E9C-101B-9397-08002B2CF9AE}" pid="9" name="Mendeley Recent Style Id 3_1">
    <vt:lpwstr>http://www.zotero.org/styles/future-generation-computer-systems</vt:lpwstr>
  </property>
  <property fmtid="{D5CDD505-2E9C-101B-9397-08002B2CF9AE}" pid="10" name="Mendeley Recent Style Name 3_1">
    <vt:lpwstr>Future Generation Computer Systems</vt:lpwstr>
  </property>
  <property fmtid="{D5CDD505-2E9C-101B-9397-08002B2CF9AE}" pid="11" name="Mendeley Recent Style Id 4_1">
    <vt:lpwstr>http://www.zotero.org/styles/harvard1</vt:lpwstr>
  </property>
  <property fmtid="{D5CDD505-2E9C-101B-9397-08002B2CF9AE}" pid="12" name="Mendeley Recent Style Name 4_1">
    <vt:lpwstr>Harvard reference format 1 (deprecated)</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http://www.zotero.org/styles/modern-humanities-research-association</vt:lpwstr>
  </property>
  <property fmtid="{D5CDD505-2E9C-101B-9397-08002B2CF9AE}" pid="16" name="Mendeley Recent Style Name 6_1">
    <vt:lpwstr>Modern Humanities Research Association 3rd edition (note with bibliography)</vt:lpwstr>
  </property>
  <property fmtid="{D5CDD505-2E9C-101B-9397-08002B2CF9AE}" pid="17" name="Mendeley Recent Style Id 7_1">
    <vt:lpwstr>http://www.zotero.org/styles/modern-language-association</vt:lpwstr>
  </property>
  <property fmtid="{D5CDD505-2E9C-101B-9397-08002B2CF9AE}" pid="18" name="Mendeley Recent Style Name 7_1">
    <vt:lpwstr>Modern Language Association 7th edition</vt:lpwstr>
  </property>
  <property fmtid="{D5CDD505-2E9C-101B-9397-08002B2CF9AE}" pid="19" name="Mendeley Recent Style Id 8_1">
    <vt:lpwstr>http://www.zotero.org/styles/nature</vt:lpwstr>
  </property>
  <property fmtid="{D5CDD505-2E9C-101B-9397-08002B2CF9AE}" pid="20" name="Mendeley Recent Style Name 8_1">
    <vt:lpwstr>Nature</vt:lpwstr>
  </property>
  <property fmtid="{D5CDD505-2E9C-101B-9397-08002B2CF9AE}" pid="21" name="Mendeley Recent Style Id 9_1">
    <vt:lpwstr>http://www.zotero.org/styles/gost-r-7-0-5-2008-numeric</vt:lpwstr>
  </property>
  <property fmtid="{D5CDD505-2E9C-101B-9397-08002B2CF9AE}" pid="22" name="Mendeley Recent Style Name 9_1">
    <vt:lpwstr>Russian GOST R 7.0.5-2008 (numeric)</vt:lpwstr>
  </property>
  <property fmtid="{D5CDD505-2E9C-101B-9397-08002B2CF9AE}" pid="23" name="Mendeley Unique User Id_1">
    <vt:lpwstr>38c8a3b3-8c7d-3379-8286-bd7821caa96a</vt:lpwstr>
  </property>
  <property fmtid="{D5CDD505-2E9C-101B-9397-08002B2CF9AE}" pid="24" name="Mendeley Citation Style_1">
    <vt:lpwstr>http://www.zotero.org/styles/gost-r-7-0-5-2008-numeric</vt:lpwstr>
  </property>
</Properties>
</file>