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8F57F" w14:textId="1C60F5A5" w:rsidR="00122CCB" w:rsidRPr="000D446E" w:rsidRDefault="00122CCB" w:rsidP="002D512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446E">
        <w:rPr>
          <w:rFonts w:ascii="Times New Roman" w:hAnsi="Times New Roman" w:cs="Times New Roman"/>
          <w:b/>
          <w:bCs/>
          <w:sz w:val="24"/>
          <w:szCs w:val="24"/>
          <w:u w:val="single"/>
        </w:rPr>
        <w:t>Аналитическая записка</w:t>
      </w:r>
    </w:p>
    <w:p w14:paraId="340DCBD9" w14:textId="4EBC722A" w:rsidR="00122CCB" w:rsidRPr="000D446E" w:rsidRDefault="00122CCB" w:rsidP="000D446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>Тема: Анализ состояния и динамики клиентской базы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6E">
        <w:rPr>
          <w:rFonts w:ascii="Times New Roman" w:hAnsi="Times New Roman" w:cs="Times New Roman"/>
          <w:sz w:val="24"/>
          <w:szCs w:val="24"/>
        </w:rPr>
        <w:t>нетопливного</w:t>
      </w:r>
      <w:proofErr w:type="spellEnd"/>
      <w:r w:rsidRPr="000D446E">
        <w:rPr>
          <w:rFonts w:ascii="Times New Roman" w:hAnsi="Times New Roman" w:cs="Times New Roman"/>
          <w:sz w:val="24"/>
          <w:szCs w:val="24"/>
        </w:rPr>
        <w:t xml:space="preserve"> бизнеса</w:t>
      </w:r>
    </w:p>
    <w:p w14:paraId="605C7A5C" w14:textId="42F17E88" w:rsidR="00122CCB" w:rsidRPr="000D446E" w:rsidRDefault="00122CCB" w:rsidP="002D512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b/>
          <w:bCs/>
          <w:sz w:val="24"/>
          <w:szCs w:val="24"/>
        </w:rPr>
        <w:t>Краткие выводы</w:t>
      </w:r>
      <w:r w:rsidRPr="000D446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По итогам анализируемого периода (2020 год к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аналогичному периоду 2019 года) бизнес показывает уверенный рост выручки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(+10,4%) при неизменном объеме клиентской базы. Ключевым драйвером роста стала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успешная реализация стратегии удержания (</w:t>
      </w:r>
      <w:proofErr w:type="spellStart"/>
      <w:r w:rsidRPr="000D446E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0D446E">
        <w:rPr>
          <w:rFonts w:ascii="Times New Roman" w:hAnsi="Times New Roman" w:cs="Times New Roman"/>
          <w:sz w:val="24"/>
          <w:szCs w:val="24"/>
        </w:rPr>
        <w:t>) и стимулирования продаж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через программу лояльности. Однако наблюдается тренд стагнации</w:t>
      </w:r>
      <w:r w:rsidRPr="000D44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сегментов со средней доходностью.</w:t>
      </w:r>
    </w:p>
    <w:p w14:paraId="2D8A470E" w14:textId="77777777" w:rsidR="00122CCB" w:rsidRPr="000D446E" w:rsidRDefault="00122CCB" w:rsidP="00347C6A">
      <w:pPr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 xml:space="preserve">1. </w:t>
      </w:r>
      <w:r w:rsidRPr="000D446E">
        <w:rPr>
          <w:rFonts w:ascii="Times New Roman" w:hAnsi="Times New Roman" w:cs="Times New Roman"/>
          <w:b/>
          <w:bCs/>
          <w:sz w:val="24"/>
          <w:szCs w:val="24"/>
          <w:u w:val="single"/>
        </w:rPr>
        <w:t>Общие финансовые показатели и поведение клиентов</w:t>
      </w:r>
    </w:p>
    <w:p w14:paraId="45F1E7E8" w14:textId="00941A82" w:rsidR="00122CCB" w:rsidRPr="000D446E" w:rsidRDefault="002D5123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="00122CCB" w:rsidRPr="000D446E">
        <w:rPr>
          <w:rFonts w:ascii="Times New Roman" w:hAnsi="Times New Roman" w:cs="Times New Roman"/>
          <w:sz w:val="24"/>
          <w:szCs w:val="24"/>
        </w:rPr>
        <w:t xml:space="preserve">- </w:t>
      </w:r>
      <w:r w:rsidR="00122CCB" w:rsidRPr="000D446E">
        <w:rPr>
          <w:rFonts w:ascii="Times New Roman" w:hAnsi="Times New Roman" w:cs="Times New Roman"/>
          <w:sz w:val="24"/>
          <w:szCs w:val="24"/>
          <w:u w:val="single"/>
        </w:rPr>
        <w:t>Интенсификация продаж:</w:t>
      </w:r>
      <w:r w:rsidR="00122CCB" w:rsidRPr="000D446E">
        <w:rPr>
          <w:rFonts w:ascii="Times New Roman" w:hAnsi="Times New Roman" w:cs="Times New Roman"/>
          <w:sz w:val="24"/>
          <w:szCs w:val="24"/>
        </w:rPr>
        <w:t xml:space="preserve"> Выручка выросла с 6,7 млрд руб. до 7,4 млрд руб. При</w:t>
      </w:r>
      <w:r w:rsidR="00122CCB"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="00122CCB" w:rsidRPr="000D446E">
        <w:rPr>
          <w:rFonts w:ascii="Times New Roman" w:hAnsi="Times New Roman" w:cs="Times New Roman"/>
          <w:sz w:val="24"/>
          <w:szCs w:val="24"/>
        </w:rPr>
        <w:t>этом общий клиентский трафик остался на прежнем уровне (~27 млн клиентов). Рост обеспечен качественными изменениями в поведении покупателей.</w:t>
      </w:r>
    </w:p>
    <w:p w14:paraId="6269AD65" w14:textId="6E5AA8BC" w:rsidR="00122CCB" w:rsidRPr="000D446E" w:rsidRDefault="002D5123" w:rsidP="002D512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="00122CCB" w:rsidRPr="000D446E">
        <w:rPr>
          <w:rFonts w:ascii="Times New Roman" w:hAnsi="Times New Roman" w:cs="Times New Roman"/>
          <w:sz w:val="24"/>
          <w:szCs w:val="24"/>
        </w:rPr>
        <w:t xml:space="preserve">- </w:t>
      </w:r>
      <w:r w:rsidR="00122CCB" w:rsidRPr="000D446E">
        <w:rPr>
          <w:rFonts w:ascii="Times New Roman" w:hAnsi="Times New Roman" w:cs="Times New Roman"/>
          <w:sz w:val="24"/>
          <w:szCs w:val="24"/>
          <w:u w:val="single"/>
        </w:rPr>
        <w:t>Рост чека за счет лояльности:</w:t>
      </w:r>
      <w:r w:rsidR="00122CCB" w:rsidRPr="000D446E">
        <w:rPr>
          <w:rFonts w:ascii="Times New Roman" w:hAnsi="Times New Roman" w:cs="Times New Roman"/>
          <w:sz w:val="24"/>
          <w:szCs w:val="24"/>
        </w:rPr>
        <w:t xml:space="preserve"> Средний чек увеличился на 7,8% (с 203 до 219 руб.). Это </w:t>
      </w:r>
      <w:r w:rsidR="00122CCB" w:rsidRPr="000D446E">
        <w:rPr>
          <w:rFonts w:ascii="Times New Roman" w:hAnsi="Times New Roman" w:cs="Times New Roman"/>
          <w:sz w:val="24"/>
          <w:szCs w:val="24"/>
        </w:rPr>
        <w:t>п</w:t>
      </w:r>
      <w:r w:rsidR="00122CCB" w:rsidRPr="000D446E">
        <w:rPr>
          <w:rFonts w:ascii="Times New Roman" w:hAnsi="Times New Roman" w:cs="Times New Roman"/>
          <w:sz w:val="24"/>
          <w:szCs w:val="24"/>
        </w:rPr>
        <w:t>роизошло на фоне трехкратного роста доли списанных бонусов (с 2,2% в 2019 г. до 6,7% в 2020</w:t>
      </w:r>
      <w:r w:rsidR="00122CCB" w:rsidRPr="000D446E">
        <w:rPr>
          <w:rFonts w:ascii="Times New Roman" w:hAnsi="Times New Roman" w:cs="Times New Roman"/>
          <w:sz w:val="24"/>
          <w:szCs w:val="24"/>
        </w:rPr>
        <w:t xml:space="preserve"> г</w:t>
      </w:r>
      <w:r w:rsidR="00122CCB" w:rsidRPr="000D446E">
        <w:rPr>
          <w:rFonts w:ascii="Times New Roman" w:hAnsi="Times New Roman" w:cs="Times New Roman"/>
          <w:sz w:val="24"/>
          <w:szCs w:val="24"/>
        </w:rPr>
        <w:t>.). Данный фактор подтверждает гипотезу о том, что промо и программа лояльности успешно мотивировали клиентов на расширение корзины покупок.</w:t>
      </w:r>
    </w:p>
    <w:p w14:paraId="12E3FEEB" w14:textId="77777777" w:rsidR="00122CCB" w:rsidRPr="000D446E" w:rsidRDefault="00122CCB" w:rsidP="00122CCB">
      <w:pPr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 xml:space="preserve">2. </w:t>
      </w:r>
      <w:r w:rsidRPr="000D446E">
        <w:rPr>
          <w:rFonts w:ascii="Times New Roman" w:hAnsi="Times New Roman" w:cs="Times New Roman"/>
          <w:b/>
          <w:bCs/>
          <w:sz w:val="24"/>
          <w:szCs w:val="24"/>
          <w:u w:val="single"/>
        </w:rPr>
        <w:t>Динамика структуры клиентской базы</w:t>
      </w:r>
    </w:p>
    <w:p w14:paraId="05DEEF59" w14:textId="3FAAD627" w:rsidR="00122CCB" w:rsidRPr="000D446E" w:rsidRDefault="00122CCB" w:rsidP="000D446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>Реализуемая стратегия на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удержание клиентов показывает высокую эффективность: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Доля «Активных» клиентов выросла на 3,2</w:t>
      </w:r>
      <w:r w:rsidR="00347C6A" w:rsidRPr="000D446E">
        <w:rPr>
          <w:rFonts w:ascii="Times New Roman" w:hAnsi="Times New Roman" w:cs="Times New Roman"/>
          <w:sz w:val="24"/>
          <w:szCs w:val="24"/>
        </w:rPr>
        <w:t>%</w:t>
      </w:r>
      <w:r w:rsidRPr="000D446E">
        <w:rPr>
          <w:rFonts w:ascii="Times New Roman" w:hAnsi="Times New Roman" w:cs="Times New Roman"/>
          <w:sz w:val="24"/>
          <w:szCs w:val="24"/>
        </w:rPr>
        <w:t xml:space="preserve"> (с 26,6% до 29,8%)</w:t>
      </w:r>
      <w:r w:rsidRPr="000D446E">
        <w:rPr>
          <w:rFonts w:ascii="Times New Roman" w:hAnsi="Times New Roman" w:cs="Times New Roman"/>
          <w:sz w:val="24"/>
          <w:szCs w:val="24"/>
        </w:rPr>
        <w:t>.</w:t>
      </w:r>
      <w:r w:rsidRPr="000D446E">
        <w:rPr>
          <w:rFonts w:ascii="Times New Roman" w:hAnsi="Times New Roman" w:cs="Times New Roman"/>
          <w:sz w:val="24"/>
          <w:szCs w:val="24"/>
        </w:rPr>
        <w:t xml:space="preserve"> Доля клиентов, «Склонных к оттоку», сократилась на 2,6</w:t>
      </w:r>
      <w:r w:rsidR="00347C6A" w:rsidRPr="000D446E">
        <w:rPr>
          <w:rFonts w:ascii="Times New Roman" w:hAnsi="Times New Roman" w:cs="Times New Roman"/>
          <w:sz w:val="24"/>
          <w:szCs w:val="24"/>
        </w:rPr>
        <w:t>%</w:t>
      </w:r>
      <w:r w:rsidRPr="000D446E">
        <w:rPr>
          <w:rFonts w:ascii="Times New Roman" w:hAnsi="Times New Roman" w:cs="Times New Roman"/>
          <w:sz w:val="24"/>
          <w:szCs w:val="24"/>
        </w:rPr>
        <w:t xml:space="preserve"> (с 36,7% до 34,1%). Доля «Ушедших» клиентов стабилизировалась и осталась практически неизменной (~36%). Возврат старых клиентов не был приоритетом текущего периода.</w:t>
      </w:r>
    </w:p>
    <w:p w14:paraId="318700B8" w14:textId="77777777" w:rsidR="00122CCB" w:rsidRPr="000D446E" w:rsidRDefault="00122CCB" w:rsidP="00122CCB">
      <w:pPr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 xml:space="preserve">3. </w:t>
      </w:r>
      <w:r w:rsidRPr="000D446E">
        <w:rPr>
          <w:rFonts w:ascii="Times New Roman" w:hAnsi="Times New Roman" w:cs="Times New Roman"/>
          <w:b/>
          <w:bCs/>
          <w:sz w:val="24"/>
          <w:szCs w:val="24"/>
          <w:u w:val="single"/>
        </w:rPr>
        <w:t>Анализ выручки в разрезе клиентских сегментов</w:t>
      </w:r>
    </w:p>
    <w:p w14:paraId="60C61FED" w14:textId="61BA95D2" w:rsidR="00122CCB" w:rsidRPr="000D446E" w:rsidRDefault="00122CCB" w:rsidP="000D446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>Наблюдается сильная поляризация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 xml:space="preserve">клиентской базы: Весь прирост выручки обеспечен топовыми сегментами, которые и ранее приносили наибольший доход («Крупные», «Ядро», «Случайные»). Эти клиенты максимально позитивно отреагировали на бонусные </w:t>
      </w:r>
      <w:r w:rsidRPr="000D446E">
        <w:rPr>
          <w:rFonts w:ascii="Times New Roman" w:hAnsi="Times New Roman" w:cs="Times New Roman"/>
          <w:sz w:val="24"/>
          <w:szCs w:val="24"/>
        </w:rPr>
        <w:t>п</w:t>
      </w:r>
      <w:r w:rsidRPr="000D446E">
        <w:rPr>
          <w:rFonts w:ascii="Times New Roman" w:hAnsi="Times New Roman" w:cs="Times New Roman"/>
          <w:sz w:val="24"/>
          <w:szCs w:val="24"/>
        </w:rPr>
        <w:t>редложения 2020 года.</w:t>
      </w:r>
      <w:r w:rsidRPr="000D446E">
        <w:rPr>
          <w:rFonts w:ascii="Times New Roman" w:hAnsi="Times New Roman" w:cs="Times New Roman"/>
          <w:sz w:val="24"/>
          <w:szCs w:val="24"/>
        </w:rPr>
        <w:t xml:space="preserve"> А вот кл</w:t>
      </w:r>
      <w:r w:rsidRPr="000D446E">
        <w:rPr>
          <w:rFonts w:ascii="Times New Roman" w:hAnsi="Times New Roman" w:cs="Times New Roman"/>
          <w:sz w:val="24"/>
          <w:szCs w:val="24"/>
        </w:rPr>
        <w:t>иенты со средним и низким чеком стагнируют. Выручка в сегментах «Лояльные» и «Спящие» показала отрицательную динамику (падение год к году).</w:t>
      </w:r>
    </w:p>
    <w:p w14:paraId="1020C4E5" w14:textId="3FEA64DE" w:rsidR="00122CCB" w:rsidRPr="000D446E" w:rsidRDefault="00122CCB" w:rsidP="00122CCB">
      <w:pPr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 xml:space="preserve">4. </w:t>
      </w:r>
      <w:r w:rsidRPr="000D446E">
        <w:rPr>
          <w:rFonts w:ascii="Times New Roman" w:hAnsi="Times New Roman" w:cs="Times New Roman"/>
          <w:b/>
          <w:bCs/>
          <w:sz w:val="24"/>
          <w:szCs w:val="24"/>
          <w:u w:val="single"/>
        </w:rPr>
        <w:t>Предлагаемый план мероприятий</w:t>
      </w:r>
    </w:p>
    <w:p w14:paraId="47D1A6D0" w14:textId="43DF7277" w:rsidR="00122CCB" w:rsidRPr="000D446E" w:rsidRDefault="00122CCB" w:rsidP="002D5123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>На основании выявленных тенденций предлагается реализовать следующий план работы</w:t>
      </w:r>
      <w:r w:rsidR="00347C6A"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с сегментами:</w:t>
      </w:r>
    </w:p>
    <w:p w14:paraId="50F94264" w14:textId="7D1B6EFA" w:rsidR="00122CCB" w:rsidRPr="000D446E" w:rsidRDefault="00122CCB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D446E">
        <w:rPr>
          <w:rFonts w:ascii="Times New Roman" w:hAnsi="Times New Roman" w:cs="Times New Roman"/>
          <w:sz w:val="24"/>
          <w:szCs w:val="24"/>
          <w:u w:val="single"/>
        </w:rPr>
        <w:t>1.</w:t>
      </w:r>
      <w:r w:rsidR="002D5123" w:rsidRPr="000D446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  <w:u w:val="single"/>
        </w:rPr>
        <w:t>Для сегментов «Крупные» и «Ядро»:</w:t>
      </w:r>
    </w:p>
    <w:p w14:paraId="7430DE19" w14:textId="52F7B36F" w:rsidR="00122CCB" w:rsidRPr="000D446E" w:rsidRDefault="00122CCB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 xml:space="preserve">Продолжить текущую бонусную стратегию, так как она доказала свою эффективность (генерирует максимальный прирост выручки). Внедрить VIP-уровни программы лояльности или персональные </w:t>
      </w:r>
      <w:proofErr w:type="spellStart"/>
      <w:r w:rsidRPr="000D446E">
        <w:rPr>
          <w:rFonts w:ascii="Times New Roman" w:hAnsi="Times New Roman" w:cs="Times New Roman"/>
          <w:sz w:val="24"/>
          <w:szCs w:val="24"/>
        </w:rPr>
        <w:t>офферы</w:t>
      </w:r>
      <w:proofErr w:type="spellEnd"/>
      <w:r w:rsidRPr="000D446E">
        <w:rPr>
          <w:rFonts w:ascii="Times New Roman" w:hAnsi="Times New Roman" w:cs="Times New Roman"/>
          <w:sz w:val="24"/>
          <w:szCs w:val="24"/>
        </w:rPr>
        <w:t xml:space="preserve"> для предотвращения выгорания данных сегментов.</w:t>
      </w:r>
    </w:p>
    <w:p w14:paraId="11C55B79" w14:textId="042E8F23" w:rsidR="00122CCB" w:rsidRPr="000D446E" w:rsidRDefault="00122CCB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D446E">
        <w:rPr>
          <w:rFonts w:ascii="Times New Roman" w:hAnsi="Times New Roman" w:cs="Times New Roman"/>
          <w:sz w:val="24"/>
          <w:szCs w:val="24"/>
          <w:u w:val="single"/>
        </w:rPr>
        <w:t>2.</w:t>
      </w:r>
      <w:r w:rsidR="002D5123" w:rsidRPr="000D446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  <w:u w:val="single"/>
        </w:rPr>
        <w:t>Для сегментов «Лояльные» и «Спящие»</w:t>
      </w:r>
      <w:r w:rsidRPr="000D446E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BC618D8" w14:textId="093E34D3" w:rsidR="00122CCB" w:rsidRPr="000D446E" w:rsidRDefault="00122CCB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>Разработать триггерные рассылки с узконаправленным промо на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товары-маркеры (кофе, выпечка), чтобы переломить тренд падения выручки в этих группах.</w:t>
      </w:r>
      <w:r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Ввести механику «сгорающих бонусов», чтобы стимулировать частоту визитов.</w:t>
      </w:r>
    </w:p>
    <w:p w14:paraId="3371872A" w14:textId="77777777" w:rsidR="00347C6A" w:rsidRPr="000D446E" w:rsidRDefault="00347C6A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D446E">
        <w:rPr>
          <w:rFonts w:ascii="Times New Roman" w:hAnsi="Times New Roman" w:cs="Times New Roman"/>
          <w:sz w:val="24"/>
          <w:szCs w:val="24"/>
          <w:u w:val="single"/>
        </w:rPr>
        <w:t xml:space="preserve">3. </w:t>
      </w:r>
      <w:r w:rsidRPr="000D446E">
        <w:rPr>
          <w:rFonts w:ascii="Times New Roman" w:hAnsi="Times New Roman" w:cs="Times New Roman"/>
          <w:sz w:val="24"/>
          <w:szCs w:val="24"/>
          <w:u w:val="single"/>
        </w:rPr>
        <w:t>Для группы «Ушедшие»:</w:t>
      </w:r>
    </w:p>
    <w:p w14:paraId="255B1F3D" w14:textId="75D6E140" w:rsidR="00347C6A" w:rsidRPr="000D446E" w:rsidRDefault="00347C6A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>Учитывая, что 36% базы числятся как ушедшие, запустить тестовую кампанию</w:t>
      </w:r>
      <w:r w:rsidR="002D5123"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 xml:space="preserve">по возврату (рассылка с приветственным бонусом при покупке </w:t>
      </w:r>
      <w:proofErr w:type="spellStart"/>
      <w:r w:rsidRPr="000D446E">
        <w:rPr>
          <w:rFonts w:ascii="Times New Roman" w:hAnsi="Times New Roman" w:cs="Times New Roman"/>
          <w:sz w:val="24"/>
          <w:szCs w:val="24"/>
        </w:rPr>
        <w:t>нетопливных</w:t>
      </w:r>
      <w:proofErr w:type="spellEnd"/>
      <w:r w:rsidRPr="000D446E">
        <w:rPr>
          <w:rFonts w:ascii="Times New Roman" w:hAnsi="Times New Roman" w:cs="Times New Roman"/>
          <w:sz w:val="24"/>
          <w:szCs w:val="24"/>
        </w:rPr>
        <w:t xml:space="preserve"> товаров) на наиболее </w:t>
      </w:r>
      <w:r w:rsidRPr="000D446E">
        <w:rPr>
          <w:rFonts w:ascii="Times New Roman" w:hAnsi="Times New Roman" w:cs="Times New Roman"/>
          <w:sz w:val="24"/>
          <w:szCs w:val="24"/>
        </w:rPr>
        <w:t>п</w:t>
      </w:r>
      <w:r w:rsidRPr="000D446E">
        <w:rPr>
          <w:rFonts w:ascii="Times New Roman" w:hAnsi="Times New Roman" w:cs="Times New Roman"/>
          <w:sz w:val="24"/>
          <w:szCs w:val="24"/>
        </w:rPr>
        <w:t>ерспективную часть этой группы (бывшие "Крупные" и "Ядро").</w:t>
      </w:r>
    </w:p>
    <w:p w14:paraId="19B3E825" w14:textId="55CD1518" w:rsidR="00122CCB" w:rsidRPr="000D446E" w:rsidRDefault="00347C6A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D446E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122CCB" w:rsidRPr="000D446E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2D5123" w:rsidRPr="000D446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22CCB" w:rsidRPr="000D446E">
        <w:rPr>
          <w:rFonts w:ascii="Times New Roman" w:hAnsi="Times New Roman" w:cs="Times New Roman"/>
          <w:sz w:val="24"/>
          <w:szCs w:val="24"/>
          <w:u w:val="single"/>
        </w:rPr>
        <w:t>Контроль маржинальности</w:t>
      </w:r>
      <w:r w:rsidRPr="000D446E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72B8836D" w14:textId="56C4161F" w:rsidR="00122CCB" w:rsidRPr="000D446E" w:rsidRDefault="00122CCB" w:rsidP="002D512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446E">
        <w:rPr>
          <w:rFonts w:ascii="Times New Roman" w:hAnsi="Times New Roman" w:cs="Times New Roman"/>
          <w:sz w:val="24"/>
          <w:szCs w:val="24"/>
        </w:rPr>
        <w:t>В связи с резким ростом доли списания бонусов до 6,7%, финансовому</w:t>
      </w:r>
      <w:r w:rsidR="002D5123" w:rsidRPr="000D446E">
        <w:rPr>
          <w:rFonts w:ascii="Times New Roman" w:hAnsi="Times New Roman" w:cs="Times New Roman"/>
          <w:sz w:val="24"/>
          <w:szCs w:val="24"/>
        </w:rPr>
        <w:t xml:space="preserve"> </w:t>
      </w:r>
      <w:r w:rsidRPr="000D446E">
        <w:rPr>
          <w:rFonts w:ascii="Times New Roman" w:hAnsi="Times New Roman" w:cs="Times New Roman"/>
          <w:sz w:val="24"/>
          <w:szCs w:val="24"/>
        </w:rPr>
        <w:t>отделу необходимо провести оценку влияния программы лояльности на чистую прибыль (ROI бонусных кампаний), чтобы не допустить падения рентабельности продаж на АЗС.</w:t>
      </w:r>
    </w:p>
    <w:p w14:paraId="5998DEB3" w14:textId="33C57F67" w:rsidR="00735062" w:rsidRPr="000D446E" w:rsidRDefault="00735062" w:rsidP="00122CCB">
      <w:pPr>
        <w:rPr>
          <w:rFonts w:ascii="Times New Roman" w:hAnsi="Times New Roman" w:cs="Times New Roman"/>
          <w:sz w:val="24"/>
          <w:szCs w:val="24"/>
        </w:rPr>
      </w:pPr>
    </w:p>
    <w:sectPr w:rsidR="00735062" w:rsidRPr="000D446E" w:rsidSect="002D512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CB"/>
    <w:rsid w:val="000D446E"/>
    <w:rsid w:val="00122CCB"/>
    <w:rsid w:val="002D5123"/>
    <w:rsid w:val="00347C6A"/>
    <w:rsid w:val="00735062"/>
    <w:rsid w:val="00C846D6"/>
    <w:rsid w:val="00D5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3A222"/>
  <w15:chartTrackingRefBased/>
  <w15:docId w15:val="{E2293140-4683-47DF-A521-5D10D4DC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</cp:revision>
  <dcterms:created xsi:type="dcterms:W3CDTF">2026-07-24T09:03:00Z</dcterms:created>
  <dcterms:modified xsi:type="dcterms:W3CDTF">2026-07-24T10:23:00Z</dcterms:modified>
</cp:coreProperties>
</file>