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智能 BI 数据洞察与报告生成平台</w:t>
      </w:r>
    </w:p>
    <w:p>
      <w:pPr>
        <w:spacing w:before="360"/>
        <w:jc w:val="center"/>
      </w:pPr>
      <w:r>
        <w:rPr>
          <w:rFonts w:ascii="等线" w:hAnsi="等线"/>
          <w:b/>
          <w:color w:val="1769AA"/>
          <w:sz w:val="44"/>
        </w:rPr>
        <w:t>配置管理计划书</w:t>
      </w:r>
    </w:p>
    <w:p>
      <w:pPr>
        <w:spacing w:before="1600"/>
        <w:jc w:val="center"/>
      </w:pPr>
      <w:r>
        <w:rPr>
          <w:rFonts w:ascii="等线" w:hAnsi="等线"/>
          <w:color w:val="344054"/>
          <w:sz w:val="24"/>
        </w:rPr>
        <w:t>项目组成员  王正、胡辰朋、杜宇涵</w:t>
        <w:br/>
        <w:t>文档版本  V1.0</w:t>
        <w:br/>
        <w:t>编制日期  2026年9月9日</w:t>
      </w:r>
    </w:p>
    <w:p>
      <w:pPr>
        <w:spacing w:before="1300"/>
        <w:jc w:val="center"/>
      </w:pPr>
      <w:r>
        <w:rPr>
          <w:rFonts w:ascii="等线" w:hAnsi="等线"/>
          <w:color w:val="667085"/>
          <w:sz w:val="21"/>
        </w:rPr>
        <w:t>项目最终交付材料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配置管理计划书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项目名称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智能 BI 数据洞察与报告生成平台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项目成员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版本与状态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V1.0  最终版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课程实习项目验收、系统演示、答辩与后续维护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本材料依据当前仓库、运行系统、测试记录和官方文档框架整理。第 12 号成员分工表按要求不编写，本套材料不对三位成员作个人任务拆分。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 简介</w:t>
      </w:r>
    </w:p>
    <w:p>
      <w:pPr>
        <w:pStyle w:val="Heading2"/>
      </w:pPr>
      <w:r>
        <w:t>1.1 目的</w:t>
      </w:r>
    </w:p>
    <w:p>
      <w:r>
        <w:t>本计划规定项目代码、数据库脚本、测试证据、演示素材和正式文档的标识、版本、变更、审计与发布方法，保证任何交付结论都能追溯到仓库版本、运行环境和验证记录。</w:t>
      </w:r>
    </w:p>
    <w:p>
      <w:pPr>
        <w:pStyle w:val="Heading2"/>
      </w:pPr>
      <w:r>
        <w:t>1.2 范围</w:t>
      </w:r>
    </w:p>
    <w:p>
      <w:pPr>
        <w:pStyle w:val="ListBullet"/>
        <w:ind w:left="369" w:hanging="198"/>
      </w:pPr>
      <w:r>
        <w:t>源码：Vue 3 应用入口与兼容工作台、FastAPI 后端、Nginx 配置、Docker Compose、数据库迁移和启动脚本。</w:t>
      </w:r>
    </w:p>
    <w:p>
      <w:pPr>
        <w:pStyle w:val="ListBullet"/>
        <w:ind w:left="369" w:hanging="198"/>
      </w:pPr>
      <w:r>
        <w:t>数据：五行业演示数据、CSV 模板、数据批次元数据和指标口径。</w:t>
      </w:r>
    </w:p>
    <w:p>
      <w:pPr>
        <w:pStyle w:val="ListBullet"/>
        <w:ind w:left="369" w:hanging="198"/>
      </w:pPr>
      <w:r>
        <w:t>文档：需求、计划、设计、测试、总结、答辩讲稿及截图素材。</w:t>
      </w:r>
    </w:p>
    <w:p>
      <w:pPr>
        <w:pStyle w:val="ListBullet"/>
        <w:ind w:left="369" w:hanging="198"/>
      </w:pPr>
      <w:r>
        <w:t>配置：仅纳入不含密钥的示例配置；.env、日志、数据库卷和真实 API Key 永不进入 Git。</w:t>
      </w:r>
    </w:p>
    <w:p>
      <w:pPr>
        <w:pStyle w:val="Heading2"/>
      </w:pPr>
      <w:r>
        <w:t>1.3 定义和参考资料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配置项 CI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受版本和变更控制的代码、文档、数据定义或部署文件。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基线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经检查后可用于开发、测试或发布的稳定版本集合。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Text-to-SQL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将自然语言问题转换为受控查询意图，再由后端生成参数化只读 SQL。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数据批次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一次场景加载或 CSV 导入形成的可追溯数据版本。</w:t>
            </w:r>
          </w:p>
        </w:tc>
      </w:tr>
    </w:tbl>
    <w:p>
      <w:pPr>
        <w:spacing w:after="0"/>
      </w:pPr>
    </w:p>
    <w:p>
      <w:r>
        <w:t>主要参考：仓库 README、AI_PROJECT_CONTEXT、PRD、系统设计说明书、数据库与数据字典、测试与验收报告，以及官方 1 组材料模板。</w:t>
      </w:r>
    </w:p>
    <w:p>
      <w:pPr>
        <w:pStyle w:val="Heading1"/>
      </w:pPr>
      <w:r>
        <w:t>2 配置管理组织与职责</w:t>
      </w:r>
    </w:p>
    <w:p>
      <w:r>
        <w:t>项目组由王正、胡辰朋、杜宇涵组成，采用共同评审方式完成配置检查。本文件只规定共同职责，不进行个人分工。涉及主分支、发布标签、数据库迁移和正式文档的变更，须由项目组共同确认后合入。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58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4649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共同职责</w:t>
            </w:r>
          </w:p>
        </w:tc>
        <w:tc>
          <w:tcPr>
            <w:tcW w:type="dxa" w:w="238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配置识别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识别源码、脚本、数据字典、测试和文档配置项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配置项清单</w:t>
            </w:r>
          </w:p>
        </w:tc>
      </w:tr>
      <w:tr>
        <w:trPr>
          <w:cantSplit/>
        </w:trPr>
        <w:tc>
          <w:tcPr>
            <w:tcW w:type="dxa" w:w="158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版本控制</w:t>
            </w:r>
          </w:p>
        </w:tc>
        <w:tc>
          <w:tcPr>
            <w:tcW w:type="dxa" w:w="464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统一在 Git main 分支保存可交付版本</w:t>
            </w:r>
          </w:p>
        </w:tc>
        <w:tc>
          <w:tcPr>
            <w:tcW w:type="dxa" w:w="238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提交记录与标签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变更控制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记录原因、影响、验证方法和回退方式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问题单、提交说明</w:t>
            </w:r>
          </w:p>
        </w:tc>
      </w:tr>
      <w:tr>
        <w:trPr>
          <w:cantSplit/>
        </w:trPr>
        <w:tc>
          <w:tcPr>
            <w:tcW w:type="dxa" w:w="158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状态统计</w:t>
            </w:r>
          </w:p>
        </w:tc>
        <w:tc>
          <w:tcPr>
            <w:tcW w:type="dxa" w:w="464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检查 Git 状态、服务健康和测试结果</w:t>
            </w:r>
          </w:p>
        </w:tc>
        <w:tc>
          <w:tcPr>
            <w:tcW w:type="dxa" w:w="238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状态记录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配置审计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核对版本、敏感信息、可运行性与文档一致性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审计结论</w:t>
            </w:r>
          </w:p>
        </w:tc>
      </w:tr>
    </w:tbl>
    <w:p>
      <w:pPr>
        <w:spacing w:after="0"/>
      </w:pPr>
    </w:p>
    <w:p>
      <w:pPr>
        <w:pStyle w:val="Heading1"/>
      </w:pPr>
      <w:r>
        <w:t>3 配置管理活动</w:t>
      </w:r>
    </w:p>
    <w:p>
      <w:pPr>
        <w:pStyle w:val="Heading2"/>
      </w:pPr>
      <w:r>
        <w:t>3.1 配置库结构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26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422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纳入 Git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backend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FastAPI、SQLAlchemy、Alembic、测试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frontend</w:t>
            </w:r>
          </w:p>
        </w:tc>
        <w:tc>
          <w:tcPr>
            <w:tcW w:type="dxa" w:w="442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Vue 入口、工作台视图、样式与 API 客户端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nginx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生产静态托管与 /api 反向代理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scripts</w:t>
            </w:r>
          </w:p>
        </w:tc>
        <w:tc>
          <w:tcPr>
            <w:tcW w:type="dxa" w:w="442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启动、停止、重置、测试和诊断脚本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 与 项目最终文档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过程文档、正式材料、答辩和截图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.env logs 数据卷</w:t>
            </w:r>
          </w:p>
        </w:tc>
        <w:tc>
          <w:tcPr>
            <w:tcW w:type="dxa" w:w="442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密钥、运行日志、MySQL 持久化数据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</w:pPr>
      <w:r>
        <w:t>3.2 配置标识与版本规则</w:t>
      </w:r>
    </w:p>
    <w:p>
      <w:pPr>
        <w:pStyle w:val="ListBullet"/>
        <w:ind w:left="369" w:hanging="198"/>
      </w:pPr>
      <w:r>
        <w:t>代码提交采用“类型: 变更摘要”，类型包括 feat、fix、test、docs 和 chore。</w:t>
      </w:r>
    </w:p>
    <w:p>
      <w:pPr>
        <w:pStyle w:val="ListBullet"/>
        <w:ind w:left="369" w:hanging="198"/>
      </w:pPr>
      <w:r>
        <w:t>正式文档文件名沿用官方 1 至 11 编号；文档内部使用 V主版本.次版本。</w:t>
      </w:r>
    </w:p>
    <w:p>
      <w:pPr>
        <w:pStyle w:val="ListBullet"/>
        <w:ind w:left="369" w:hanging="198"/>
      </w:pPr>
      <w:r>
        <w:t>数据库结构只通过 Alembic 迁移演进，不直接手工修改生产表。</w:t>
      </w:r>
    </w:p>
    <w:p>
      <w:pPr>
        <w:pStyle w:val="ListBullet"/>
        <w:ind w:left="369" w:hanging="198"/>
      </w:pPr>
      <w:r>
        <w:t>演示数据以 scenario_id、记录数、日期范围和 SHA-256 指纹标识。</w:t>
      </w:r>
    </w:p>
    <w:p>
      <w:pPr>
        <w:pStyle w:val="Heading2"/>
      </w:pPr>
      <w:r>
        <w:t>3.3 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294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形成条件</w:t>
            </w:r>
          </w:p>
        </w:tc>
        <w:tc>
          <w:tcPr>
            <w:tcW w:type="dxa" w:w="3969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需求基线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需求规约评审完成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功能范围、边界、验收标准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设计基线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架构与数据库设计可实现</w:t>
            </w:r>
          </w:p>
        </w:tc>
        <w:tc>
          <w:tcPr>
            <w:tcW w:type="dxa" w:w="396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接口、数据模型、部署结构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测试基线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自动化脚本可独立运行</w:t>
            </w:r>
          </w:p>
        </w:tc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测试计划、用例、mock-llm、验收场景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发布基线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全量测试通过且文档一致</w:t>
            </w:r>
          </w:p>
        </w:tc>
        <w:tc>
          <w:tcPr>
            <w:tcW w:type="dxa" w:w="396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main 指定提交、启动器、正式材料</w:t>
            </w:r>
          </w:p>
        </w:tc>
      </w:tr>
    </w:tbl>
    <w:p>
      <w:pPr>
        <w:spacing w:after="0"/>
      </w:pPr>
    </w:p>
    <w:p>
      <w:pPr>
        <w:pStyle w:val="Heading2"/>
      </w:pPr>
      <w:r>
        <w:t>3.4 变更控制流程</w:t>
      </w:r>
    </w:p>
    <w:p>
      <w:pPr>
        <w:pStyle w:val="ListNumber"/>
        <w:ind w:left="369" w:hanging="198"/>
      </w:pPr>
      <w:r>
        <w:t>提出问题或需求，记录影响范围、严重程度和复现方式。</w:t>
      </w:r>
    </w:p>
    <w:p>
      <w:pPr>
        <w:pStyle w:val="ListNumber"/>
        <w:ind w:left="369" w:hanging="198"/>
      </w:pPr>
      <w:r>
        <w:t>分析代码、数据、接口、文档和演示的连锁影响。</w:t>
      </w:r>
    </w:p>
    <w:p>
      <w:pPr>
        <w:pStyle w:val="ListNumber"/>
        <w:ind w:left="369" w:hanging="198"/>
      </w:pPr>
      <w:r>
        <w:t>实施小范围变更，并补充针对性测试。</w:t>
      </w:r>
    </w:p>
    <w:p>
      <w:pPr>
        <w:pStyle w:val="ListNumber"/>
        <w:ind w:left="369" w:hanging="198"/>
      </w:pPr>
      <w:r>
        <w:t>通过完整回归、文档审查与 Git diff 检查。</w:t>
      </w:r>
    </w:p>
    <w:p>
      <w:pPr>
        <w:pStyle w:val="ListNumber"/>
        <w:ind w:left="369" w:hanging="198"/>
      </w:pPr>
      <w:r>
        <w:t>合入 main；失败时依据提交记录和数据库迁移策略回退。</w:t>
      </w:r>
    </w:p>
    <w:p>
      <w:pPr>
        <w:pStyle w:val="Heading2"/>
      </w:pPr>
      <w:r>
        <w:t>3.5 访问权限与敏感信息</w:t>
      </w:r>
    </w:p>
    <w:p>
      <w:r>
        <w:t>GitHub 仓库公开展示源码与非敏感资料。真实 DeepSeek Key 只通过系统配置页提交，后端用 Fernet 加密保存，接口只返回脱敏提示。任何截图、日志和文档在归档前均检查是否含完整密钥、密码、个人数据或 .env 内容。</w:t>
      </w:r>
    </w:p>
    <w:p>
      <w:pPr>
        <w:pStyle w:val="Heading1"/>
      </w:pPr>
      <w:r>
        <w:t>4 审计 发布与归档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7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746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仓库状态</w:t>
            </w:r>
          </w:p>
        </w:tc>
        <w:tc>
          <w:tcPr>
            <w:tcW w:type="dxa" w:w="6746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正式提交只包含预期文件，不提交 1 组旧项目样例、.env、日志和缓存。</w:t>
            </w:r>
          </w:p>
        </w:tc>
      </w:tr>
      <w:tr>
        <w:trPr>
          <w:cantSplit/>
        </w:trPr>
        <w:tc>
          <w:tcPr>
            <w:tcW w:type="dxa" w:w="187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构建与测试</w:t>
            </w:r>
          </w:p>
        </w:tc>
        <w:tc>
          <w:tcPr>
            <w:tcW w:type="dxa" w:w="6746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后端、前端、生产构建和端到端测试均通过。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运行健康</w:t>
            </w:r>
          </w:p>
        </w:tc>
        <w:tc>
          <w:tcPr>
            <w:tcW w:type="dxa" w:w="6746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/api/health 返回 app=up、database=up。</w:t>
            </w:r>
          </w:p>
        </w:tc>
      </w:tr>
      <w:tr>
        <w:trPr>
          <w:cantSplit/>
        </w:trPr>
        <w:tc>
          <w:tcPr>
            <w:tcW w:type="dxa" w:w="187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文档一致</w:t>
            </w:r>
          </w:p>
        </w:tc>
        <w:tc>
          <w:tcPr>
            <w:tcW w:type="dxa" w:w="6746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技术栈、成员、功能、限制与当前系统一致。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可恢复性</w:t>
            </w:r>
          </w:p>
        </w:tc>
        <w:tc>
          <w:tcPr>
            <w:tcW w:type="dxa" w:w="6746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停止保留数据；重置仅在显式确认后删除指定 MySQL 卷。</w:t>
            </w:r>
          </w:p>
        </w:tc>
      </w:tr>
    </w:tbl>
    <w:p>
      <w:pPr>
        <w:spacing w:after="0"/>
      </w:pPr>
    </w:p>
    <w:p>
      <w:r>
        <w:t>归档包以仓库 main 分支为主，项目最终文档为正式书面交付，截图素材库为答辩证据。每次发布保留提交哈希、测试日期、问题关闭状态和已知限制。</w:t>
      </w:r>
    </w:p>
    <w:p>
      <w:r>
        <w:br w:type="page"/>
      </w:r>
    </w:p>
    <w:p>
      <w:pPr>
        <w:pStyle w:val="Heading1"/>
      </w:pPr>
      <w:r>
        <w:t>5 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2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309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配置管理产物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立项与需求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2026-07-09 至 2026-07-10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需求基线、项目计划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架构与数据设计</w:t>
            </w:r>
          </w:p>
        </w:tc>
        <w:tc>
          <w:tcPr>
            <w:tcW w:type="dxa" w:w="238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2026-07-10 至 2026-07-14</w:t>
            </w:r>
          </w:p>
        </w:tc>
        <w:tc>
          <w:tcPr>
            <w:tcW w:type="dxa" w:w="430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系统架构、数据库设计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核心功能实现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2026-07-14 至 2026-07-31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可运行代码与演示数据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扩展与验证</w:t>
            </w:r>
          </w:p>
        </w:tc>
        <w:tc>
          <w:tcPr>
            <w:tcW w:type="dxa" w:w="238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2026-08-01 至 2026-09-08</w:t>
            </w:r>
          </w:p>
        </w:tc>
        <w:tc>
          <w:tcPr>
            <w:tcW w:type="dxa" w:w="430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行业场景、行动闭环、AI 与测试证据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最终归档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2026-09-09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1 至 11 号正式材料与截图库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/>
        <w:color w:val="667085"/>
        <w:sz w:val="17"/>
      </w:rPr>
      <w:t xml:space="preserve">第 </w:t>
    </w:r>
    <w:fldSimple w:instr="PAGE"/>
    <w:r>
      <w:rPr>
        <w:rFonts w:ascii="等线" w:hAnsi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/>
        <w:color w:val="667085"/>
        <w:sz w:val="17"/>
      </w:rPr>
      <w:t>智能 BI 数据洞察与报告生成平台    CM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444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1.配置管理计划书</dc:title>
  <dc:subject>智能 BI 数据洞察与报告生成平台</dc:subject>
  <dc:creator>王正、胡辰朋、杜宇涵</dc:creator>
  <cp:keywords>智能BI, Text-to-SQL, DeepSeek, FastAPI, Vue,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