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  <w:jc w:val="center"/>
      </w:pPr>
      <w:r>
        <w:t>智能 BI 数据洞察与报告生成平台</w:t>
      </w:r>
    </w:p>
    <w:p>
      <w:pPr>
        <w:spacing w:before="360"/>
        <w:jc w:val="center"/>
      </w:pPr>
      <w:r>
        <w:rPr>
          <w:rFonts w:ascii="等线" w:hAnsi="等线"/>
          <w:b/>
          <w:color w:val="1769AA"/>
          <w:sz w:val="44"/>
        </w:rPr>
        <w:t>项目开发总结报告</w:t>
      </w:r>
    </w:p>
    <w:p>
      <w:pPr>
        <w:spacing w:before="1600"/>
        <w:jc w:val="center"/>
      </w:pPr>
      <w:r>
        <w:rPr>
          <w:rFonts w:ascii="等线" w:hAnsi="等线"/>
          <w:color w:val="344054"/>
          <w:sz w:val="24"/>
        </w:rPr>
        <w:t>项目组成员  王正、胡辰朋、杜宇涵</w:t>
        <w:br/>
        <w:t>文档版本  V1.0</w:t>
        <w:br/>
        <w:t>编制日期  2026年9月9日</w:t>
      </w:r>
    </w:p>
    <w:p>
      <w:pPr>
        <w:spacing w:before="1300"/>
        <w:jc w:val="center"/>
      </w:pPr>
      <w:r>
        <w:rPr>
          <w:rFonts w:ascii="等线" w:hAnsi="等线"/>
          <w:color w:val="667085"/>
          <w:sz w:val="21"/>
        </w:rPr>
        <w:t>项目最终交付材料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文档名称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项目开发总结报告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项目名称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智能 BI 数据洞察与报告生成平台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项目成员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王正、胡辰朋、杜宇涵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版本与状态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V1.0  最终版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课程实习项目验收、系统演示、答辩与后续维护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AF3FA"/>
          </w:tcPr>
          <w:p>
            <w:pPr>
              <w:spacing w:after="60"/>
            </w:pPr>
            <w:r>
              <w:rPr>
                <w:rFonts w:ascii="等线" w:hAnsi="等线"/>
                <w:color w:val="24445E"/>
                <w:sz w:val="19"/>
              </w:rPr>
              <w:t>本材料依据当前仓库、运行系统、测试记录和官方文档框架整理。第 12 号成员分工表按要求不编写，本套材料不对三位成员作个人任务拆分。</w:t>
            </w:r>
          </w:p>
        </w:tc>
      </w:tr>
    </w:tbl>
    <w:p>
      <w:pPr>
        <w:spacing w:after="0"/>
      </w:pPr>
    </w:p>
    <w:p>
      <w:pPr>
        <w:pStyle w:val="Heading1"/>
      </w:pPr>
      <w:r>
        <w:t>1 引言</w:t>
      </w:r>
    </w:p>
    <w:p>
      <w:r>
        <w:t>项目完成了一个可直接启动、可切换行业、可接入 DeepSeek、可导入自有数据并形成分析到行动闭环的智能 BI 原型。系统不是单纯的问题模板集合：启用模型后会优先进行自然语言解析，本地服务负责数据事实、只读 SQL、安全验证和降级。</w:t>
      </w:r>
    </w:p>
    <w:p>
      <w:pPr>
        <w:pStyle w:val="Heading1"/>
      </w:pPr>
      <w:r>
        <w:t>2 实际开发结果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928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6690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完成结果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自然语言查询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模板与自由问题均可生成摘要、参数化 SQL、图表和结果表；AI 启用时优先解析。</w:t>
            </w:r>
          </w:p>
        </w:tc>
      </w:tr>
      <w:tr>
        <w:trPr>
          <w:cantSplit/>
        </w:trPr>
        <w:tc>
          <w:tcPr>
            <w:tcW w:type="dxa" w:w="192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自动报告</w:t>
            </w:r>
          </w:p>
        </w:tc>
        <w:tc>
          <w:tcPr>
            <w:tcW w:type="dxa" w:w="669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支持周报、月报和自定义模块；本地事实与 AI 叙述分离，数字受来源校验。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异常归因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显示波动、影响范围、相关维度、证据和核查线索。</w:t>
            </w:r>
          </w:p>
        </w:tc>
      </w:tr>
      <w:tr>
        <w:trPr>
          <w:cantSplit/>
        </w:trPr>
        <w:tc>
          <w:tcPr>
            <w:tcW w:type="dxa" w:w="192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预测模拟</w:t>
            </w:r>
          </w:p>
        </w:tc>
        <w:tc>
          <w:tcPr>
            <w:tcW w:type="dxa" w:w="669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提供 OLS 默认预测、可选 PyTorch CPU 适配与策略假设分析。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数据可视化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仪表盘筛选、趋势、排名、构成、查询图表与响应式布局。</w:t>
            </w:r>
          </w:p>
        </w:tc>
      </w:tr>
      <w:tr>
        <w:trPr>
          <w:cantSplit/>
        </w:trPr>
        <w:tc>
          <w:tcPr>
            <w:tcW w:type="dxa" w:w="192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行业与自有数据</w:t>
            </w:r>
          </w:p>
        </w:tc>
        <w:tc>
          <w:tcPr>
            <w:tcW w:type="dxa" w:w="669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五行业场景一键切换；11 列 CSV 模板、质量预检和确认导入。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决策闭环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洞察转行动草案，人工确认、执行状态、证据与复盘。</w:t>
            </w:r>
          </w:p>
        </w:tc>
      </w:tr>
      <w:tr>
        <w:trPr>
          <w:cantSplit/>
        </w:trPr>
        <w:tc>
          <w:tcPr>
            <w:tcW w:type="dxa" w:w="192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工程交付</w:t>
            </w:r>
          </w:p>
        </w:tc>
        <w:tc>
          <w:tcPr>
            <w:tcW w:type="dxa" w:w="669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Windows 一键启动、Docker Compose、健康检查、独立全量测试和完整文档。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493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-stack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9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67085"/>
          <w:sz w:val="18"/>
        </w:rPr>
        <w:t>图 1 智能 BI 主界面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22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top-foreca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67085"/>
          <w:sz w:val="18"/>
        </w:rPr>
        <w:t>图 2 预测与模拟界面</w:t>
      </w:r>
    </w:p>
    <w:p>
      <w:pPr>
        <w:pStyle w:val="Heading1"/>
      </w:pPr>
      <w:r>
        <w:t>3 系统特色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38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特色</w:t>
            </w:r>
          </w:p>
        </w:tc>
        <w:tc>
          <w:tcPr>
            <w:tcW w:type="dxa" w:w="6236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价值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AI 可控而非直连数据库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模型只输出受控意图，后端掌握 SQL 生成、参数、超时和只读执行。</w:t>
            </w:r>
          </w:p>
        </w:tc>
      </w:tr>
      <w:tr>
        <w:trPr>
          <w:cantSplit/>
        </w:trPr>
        <w:tc>
          <w:tcPr>
            <w:tcW w:type="dxa" w:w="238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AI 优先且可降级</w:t>
            </w:r>
          </w:p>
        </w:tc>
        <w:tc>
          <w:tcPr>
            <w:tcW w:type="dxa" w:w="6236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演示时可真实调用 DeepSeek；外部服务失败时系统仍可用。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完整决策链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把发生、原因线索、下一步、预测模拟和行动复盘放在同一系统。</w:t>
            </w:r>
          </w:p>
        </w:tc>
      </w:tr>
      <w:tr>
        <w:trPr>
          <w:cantSplit/>
        </w:trPr>
        <w:tc>
          <w:tcPr>
            <w:tcW w:type="dxa" w:w="238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五行业即插即用</w:t>
            </w:r>
          </w:p>
        </w:tc>
        <w:tc>
          <w:tcPr>
            <w:tcW w:type="dxa" w:w="6236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统一数据模型配合行业术语和模板问题，便于展示迁移能力。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数据可信与可追溯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指标口径、数据范围、SQL、批次指纹、查询历史和行动证据同时可见。</w:t>
            </w:r>
          </w:p>
        </w:tc>
      </w:tr>
      <w:tr>
        <w:trPr>
          <w:cantSplit/>
        </w:trPr>
        <w:tc>
          <w:tcPr>
            <w:tcW w:type="dxa" w:w="238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答辩友好</w:t>
            </w:r>
          </w:p>
        </w:tc>
        <w:tc>
          <w:tcPr>
            <w:tcW w:type="dxa" w:w="6236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一键启动、模拟数据、逐步演示文档、实机截图和可复制问题完整配套。</w:t>
            </w:r>
          </w:p>
        </w:tc>
      </w:tr>
    </w:tbl>
    <w:p>
      <w:pPr>
        <w:spacing w:after="0"/>
      </w:pPr>
    </w:p>
    <w:p>
      <w:pPr>
        <w:pStyle w:val="Heading1"/>
      </w:pPr>
      <w:r>
        <w:t>4 技术成果</w:t>
      </w:r>
    </w:p>
    <w:p>
      <w:pPr>
        <w:pStyle w:val="ListBullet"/>
        <w:ind w:left="369" w:hanging="198"/>
      </w:pPr>
      <w:r>
        <w:t>Vue 3 应用入口与 Vite 生产构建，Nginx 提供静态托管和同源 API。</w:t>
      </w:r>
    </w:p>
    <w:p>
      <w:pPr>
        <w:pStyle w:val="ListBullet"/>
        <w:ind w:left="369" w:hanging="198"/>
      </w:pPr>
      <w:r>
        <w:t>FastAPI + SQLAlchemy + Alembic 提供类型化接口、业务服务、数据库迁移和 OpenAPI。</w:t>
      </w:r>
    </w:p>
    <w:p>
      <w:pPr>
        <w:pStyle w:val="ListBullet"/>
        <w:ind w:left="369" w:hanging="198"/>
      </w:pPr>
      <w:r>
        <w:t>MySQL 8.4 LTS 保存事实、指标、模板、加密配置、场景、批次、历史和行动。</w:t>
      </w:r>
    </w:p>
    <w:p>
      <w:pPr>
        <w:pStyle w:val="ListBullet"/>
        <w:ind w:left="369" w:hanging="198"/>
      </w:pPr>
      <w:r>
        <w:t>DeepSeek/OpenAI compatible 客户端实现网络安全、JSON 清洗、意图校验、超时与回退。</w:t>
      </w:r>
    </w:p>
    <w:p>
      <w:pPr>
        <w:pStyle w:val="ListBullet"/>
        <w:ind w:left="369" w:hanging="198"/>
      </w:pPr>
      <w:r>
        <w:t>Pytest、Node test、Vite build 和 Playwright Chrome 组成独立回归链。</w:t>
      </w:r>
    </w:p>
    <w:p>
      <w:pPr>
        <w:pStyle w:val="Heading1"/>
      </w:pPr>
      <w:r>
        <w:t>5 质量评价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91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评价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需求完成度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项目约束中的五类基本功能均有可演示实现，并扩展行业、导入、追溯和行动闭环。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稳定性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启动器、健康检查、AI 回退和独立测试降低演示中断风险。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安全性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只读 SQL、密钥加密、私网默认阻断、模型结果校验和测试隔离已实现。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可维护性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模块化后端、数据库迁移、自动化测试、项目上下文文档和正式资料齐全。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局限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仍是单机原型；无登录/RBAC/多租户；预测和归因不构成确定因果。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AF3FA"/>
          </w:tcPr>
          <w:p>
            <w:pPr>
              <w:spacing w:after="60"/>
            </w:pPr>
            <w:r>
              <w:rPr>
                <w:rFonts w:ascii="等线" w:hAnsi="等线"/>
                <w:color w:val="24445E"/>
                <w:sz w:val="19"/>
              </w:rPr>
              <w:t>2026-09-09 最终完整回归：后端 Pytest 152 项通过，前端 Node 17 项通过，Vite 生产构建通过，Chrome Playwright 8 项通过；测试容器与测试数据卷已自动清理。</w:t>
            </w:r>
          </w:p>
        </w:tc>
      </w:tr>
    </w:tbl>
    <w:p>
      <w:pPr>
        <w:spacing w:after="0"/>
      </w:pPr>
    </w:p>
    <w:p>
      <w:pPr>
        <w:pStyle w:val="Heading1"/>
      </w:pPr>
      <w:r>
        <w:t>6 经验与教训</w:t>
      </w:r>
    </w:p>
    <w:p>
      <w:pPr>
        <w:pStyle w:val="ListNumber"/>
        <w:ind w:left="369" w:hanging="198"/>
      </w:pPr>
      <w:r>
        <w:t>BI 的价值不是只返回一个数字，而是同时交代口径、范围、变化、原因线索和下一步。</w:t>
      </w:r>
    </w:p>
    <w:p>
      <w:pPr>
        <w:pStyle w:val="ListNumber"/>
        <w:ind w:left="369" w:hanging="198"/>
      </w:pPr>
      <w:r>
        <w:t>大模型接入必须把自由生成与数据执行分离；结构化意图、白名单和回退比单纯提示词更可靠。</w:t>
      </w:r>
    </w:p>
    <w:p>
      <w:pPr>
        <w:pStyle w:val="ListNumber"/>
        <w:ind w:left="369" w:hanging="198"/>
      </w:pPr>
      <w:r>
        <w:t>演示系统的启动、数据、截图、讲稿和故障预案与功能代码同样重要。</w:t>
      </w:r>
    </w:p>
    <w:p>
      <w:pPr>
        <w:pStyle w:val="ListNumber"/>
        <w:ind w:left="369" w:hanging="198"/>
      </w:pPr>
      <w:r>
        <w:t>跨行业复用需要统一事实字段，同时保留场景术语和问题边界，不能让模型猜测未知表结构。</w:t>
      </w:r>
    </w:p>
    <w:p>
      <w:pPr>
        <w:pStyle w:val="ListNumber"/>
        <w:ind w:left="369" w:hanging="198"/>
      </w:pPr>
      <w:r>
        <w:t>每次扩展都应同步更新测试和文档，否则系统能运行但无法被清楚验收和交接。</w:t>
      </w:r>
    </w:p>
    <w:p>
      <w:pPr>
        <w:pStyle w:val="Heading1"/>
      </w:pPr>
      <w:r>
        <w:t>7 后续建议</w:t>
      </w:r>
    </w:p>
    <w:p>
      <w:pPr>
        <w:pStyle w:val="ListBullet"/>
        <w:ind w:left="369" w:hanging="198"/>
      </w:pPr>
      <w:r>
        <w:t>增加登录、RBAC、多租户与审计策略，满足企业权限要求。</w:t>
      </w:r>
    </w:p>
    <w:p>
      <w:pPr>
        <w:pStyle w:val="ListBullet"/>
        <w:ind w:left="369" w:hanging="198"/>
      </w:pPr>
      <w:r>
        <w:t>增加 MySQL、Excel、API 和数据仓库连接器，并提供可视化字段映射。</w:t>
      </w:r>
    </w:p>
    <w:p>
      <w:pPr>
        <w:pStyle w:val="ListBullet"/>
        <w:ind w:left="369" w:hanging="198"/>
      </w:pPr>
      <w:r>
        <w:t>引入异步任务、缓存、监控告警与成本治理，支撑较大数据量和稳定运行。</w:t>
      </w:r>
    </w:p>
    <w:p>
      <w:pPr>
        <w:pStyle w:val="ListBullet"/>
        <w:ind w:left="369" w:hanging="198"/>
      </w:pPr>
      <w:r>
        <w:t>把兼容工作台逐页迁移为原生 Vue 组件，并引入更丰富的图表联动。</w:t>
      </w:r>
    </w:p>
    <w:p>
      <w:pPr>
        <w:pStyle w:val="ListBullet"/>
        <w:ind w:left="369" w:hanging="198"/>
      </w:pPr>
      <w:r>
        <w:t>为预测建立回测、基线对比和漂移监控，明确模型适用范围。</w:t>
      </w:r>
    </w:p>
    <w:p>
      <w:pPr>
        <w:pStyle w:val="Heading1"/>
      </w:pPr>
      <w:r>
        <w:t>8 最终结论</w:t>
      </w:r>
    </w:p>
    <w:p>
      <w:r>
        <w:t>项目已形成从环境启动、数据准备、自然语言分析、报告与预测，到行动复盘和正式文档归档的完整交付。当前版本适合作为课程实习答辩和智能 BI 原型展示，并为后续企业级扩展保留了清晰边界。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/>
        <w:color w:val="667085"/>
        <w:sz w:val="17"/>
      </w:rPr>
      <w:t xml:space="preserve">第 </w:t>
    </w:r>
    <w:fldSimple w:instr="PAGE"/>
    <w:r>
      <w:rPr>
        <w:rFonts w:ascii="等线" w:hAnsi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/>
        <w:color w:val="667085"/>
        <w:sz w:val="17"/>
      </w:rPr>
      <w:t>智能 BI 数据洞察与报告生成平台    FINAL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769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2444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10.项目开发总结报告</dc:title>
  <dc:subject>智能 BI 数据洞察与报告生成平台</dc:subject>
  <dc:creator>王正、胡辰朋、杜宇涵</dc:creator>
  <cp:keywords>智能BI, Text-to-SQL, DeepSeek, FastAPI, Vue,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