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软件需求规约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软件需求规约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 引言</w:t>
      </w:r>
    </w:p>
    <w:p>
      <w:pPr>
        <w:pStyle w:val="Heading2"/>
      </w:pPr>
      <w:r>
        <w:t>1.1 目的和读者</w:t>
      </w:r>
    </w:p>
    <w:p>
      <w:r>
        <w:t>本规约定义智能 BI 平台的业务目标、功能、接口、数据、安全、性能和验收要求，供项目组实现、测试、答辩和后续维护使用。核心结论是：系统必须把自然语言问题转换为可解释、可校验、可追溯的分析结果，并在 AI 不可用时保持核心演示能力。</w:t>
      </w:r>
    </w:p>
    <w:p>
      <w:pPr>
        <w:pStyle w:val="Heading2"/>
      </w:pPr>
      <w:r>
        <w:t>1.2 范围</w:t>
      </w:r>
    </w:p>
    <w:p>
      <w:pPr>
        <w:pStyle w:val="ListBullet"/>
        <w:ind w:left="369" w:hanging="198"/>
      </w:pPr>
      <w:r>
        <w:t>面向企业经营分析，覆盖电商、医院、银行、制造业和互联网公司五类场景。</w:t>
      </w:r>
    </w:p>
    <w:p>
      <w:pPr>
        <w:pStyle w:val="ListBullet"/>
        <w:ind w:left="369" w:hanging="198"/>
      </w:pPr>
      <w:r>
        <w:t>支持自然语言查询、受控 Text-to-SQL、仪表盘、异常线索、趋势预测、情景模拟、报告和决策行动闭环。</w:t>
      </w:r>
    </w:p>
    <w:p>
      <w:pPr>
        <w:pStyle w:val="ListBullet"/>
        <w:ind w:left="369" w:hanging="198"/>
      </w:pPr>
      <w:r>
        <w:t>支持用户导入 11 列标准业务明细，并用行业模板约束指标和问题边界。</w:t>
      </w:r>
    </w:p>
    <w:p>
      <w:pPr>
        <w:pStyle w:val="ListBullet"/>
        <w:ind w:left="369" w:hanging="198"/>
      </w:pPr>
      <w:r>
        <w:t>定位为本地可演示原型，不包含登录、多租户、生产级权限和自动业务执行。</w:t>
      </w:r>
    </w:p>
    <w:p>
      <w:pPr>
        <w:pStyle w:val="Heading2"/>
      </w:pPr>
      <w:r>
        <w:t>1.3 定义和参考资料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 优先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保存并启用有效模型配置后，模板问题和自由问题均先由 AI 解析。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本地回退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 失败或结果未通过安全校验时，使用模板或规则引擎继续响应。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受控 SQL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只允许 SELECT 和受支持字段、聚合、筛选；后端参数化生成并只读执行。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分析闭环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发生了什么、为什么发生、接下来怎么办、预测与模拟。</w:t>
            </w:r>
          </w:p>
        </w:tc>
      </w:tr>
    </w:tbl>
    <w:p>
      <w:pPr>
        <w:spacing w:after="0"/>
      </w:pPr>
    </w:p>
    <w:p>
      <w:pPr>
        <w:pStyle w:val="Heading1"/>
      </w:pPr>
      <w:r>
        <w:t>2 软件总体概述</w:t>
      </w:r>
    </w:p>
    <w:p>
      <w:pPr>
        <w:pStyle w:val="Heading2"/>
      </w:pPr>
      <w:r>
        <w:t>2.1 软件标识与背景</w:t>
      </w:r>
    </w:p>
    <w:p>
      <w:r>
        <w:t>软件名称为智能 BI 数据洞察与报告生成平台，对应实习项目 11。传统 BI 依赖专业人员编写 SQL 和解释报表，本系统以自然语言为入口，把行业场景、指标口径、只读 SQL、可视化、AI 叙述和行动记录串成一条可演示的决策链。</w:t>
      </w:r>
    </w:p>
    <w:p>
      <w:pPr>
        <w:pStyle w:val="Heading2"/>
      </w:pPr>
      <w:r>
        <w:t>2.2 用户特点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283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关注点</w:t>
            </w:r>
          </w:p>
        </w:tc>
        <w:tc>
          <w:tcPr>
            <w:tcW w:type="dxa" w:w="4082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主要使用方式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经营管理者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指标变化、风险、行动建议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仪表盘、异常、报告、行动中心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业务分析人员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口径、筛选、明细和可追溯性</w:t>
            </w:r>
          </w:p>
        </w:tc>
        <w:tc>
          <w:tcPr>
            <w:tcW w:type="dxa" w:w="408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自然语言查询、SQL、CSV、历史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项目演示者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可快速切换场景、稳定演示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一键启动、模板问题、演示素材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系统维护者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部署、安全、日志和回归</w:t>
            </w:r>
          </w:p>
        </w:tc>
        <w:tc>
          <w:tcPr>
            <w:tcW w:type="dxa" w:w="408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Docker、健康接口、测试脚本</w:t>
            </w:r>
          </w:p>
        </w:tc>
      </w:tr>
    </w:tbl>
    <w:p>
      <w:pPr>
        <w:spacing w:after="0"/>
      </w:pPr>
    </w:p>
    <w:p>
      <w:pPr>
        <w:pStyle w:val="Heading2"/>
      </w:pPr>
      <w:r>
        <w:t>2.3 约束</w:t>
      </w:r>
    </w:p>
    <w:p>
      <w:r>
        <w:t>前端采用 Vue 3 应用入口与 Vite 构建，后端采用 Python FastAPI，数据层采用 MySQL 8.4 LTS，Nginx 提供静态托管与反向代理；外部模型采用 DeepSeek 或 OpenAI 兼容接口。MySQL 8.4 属于 8.x LTS 演进版本，保持现有数据卷，不做无收益降级。</w:t>
      </w:r>
    </w:p>
    <w:p>
      <w:pPr>
        <w:pStyle w:val="Heading1"/>
      </w:pPr>
      <w:r>
        <w:t>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49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12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需求说明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FR-01 一键启动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双击启动器后自动检查 Docker Desktop、创建安全配置、启动 MySQL/后端/Nginx、等待健康并打开浏览器；失败时显示诊断并写日志。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FR-02 行业场景库</w:t>
            </w:r>
          </w:p>
        </w:tc>
        <w:tc>
          <w:tcPr>
            <w:tcW w:type="dxa" w:w="612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可一键切换五个行业场景；每个场景同步替换术语、模板问题和 540 条演示数据，并记录数据批次。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FR-03 自有数据导入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提供场景化 CSV 模板、只读质量预检和确认替换；校验 11 个字段、唯一编号、类型、时间范围和汇总。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FR-04 自然语言查询</w:t>
            </w:r>
          </w:p>
        </w:tc>
        <w:tc>
          <w:tcPr>
            <w:tcW w:type="dxa" w:w="612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接收模板或自由问题，识别指标、时间、维度、筛选和分析类型，生成摘要、SQL、图表和结果表。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FR-05 Text-to-SQL 安全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模型只返回结构化意图，后端生成参数化 SELECT；拒绝写操作、多语句、未知字段和越权结构。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FR-06 AI 配置</w:t>
            </w:r>
          </w:p>
        </w:tc>
        <w:tc>
          <w:tcPr>
            <w:tcW w:type="dxa" w:w="612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默认 DeepSeek 只填写 Key；其他模型填写服务名、Base URL、模型、Key、超时和私网选项。支持测试、保存、脱敏和删除。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FR-07 AI 优先与回退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启用 AI 后所有问题优先由 AI 解析；失败或安全校验不通过时明确提示回退来源，核心查询继续可用。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FR-08 仪表盘</w:t>
            </w:r>
          </w:p>
        </w:tc>
        <w:tc>
          <w:tcPr>
            <w:tcW w:type="dxa" w:w="612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展示经营金额、数量、业务记录、平均金额、收益和收益率，并支持时间、区域、类别和对象类型筛选联动。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FR-09 异常与归因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识别关键指标异常，给出影响范围、相关维度、数据证据和待核查线索，不将相关性表述为确定因果。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FR-10 预测与模拟</w:t>
            </w:r>
          </w:p>
        </w:tc>
        <w:tc>
          <w:tcPr>
            <w:tcW w:type="dxa" w:w="612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基于历史数据输出趋势预测、区间和依据；支持投入、价格等参数的假设分析并说明限制。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FR-11 报告生成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按周报、月报或自定义模块生成事实与 AI 辅助叙述，支持 Markdown 导出；AI 数字必须来自本地事实。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FR-12 决策行动闭环</w:t>
            </w:r>
          </w:p>
        </w:tc>
        <w:tc>
          <w:tcPr>
            <w:tcW w:type="dxa" w:w="612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把洞察转换为建议草案，经人工确认后创建行动，支持待确认、执行中、已复盘；关闭前必须填写复盘。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FR-13 查询历史与数据追溯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记录问题、引擎、状态、耗时和摘要；记录场景、来源、记录数、日期范围与 SHA-256 指纹。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FR-14 导出与响应式</w:t>
            </w:r>
          </w:p>
        </w:tc>
        <w:tc>
          <w:tcPr>
            <w:tcW w:type="dxa" w:w="612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查询结果支持 CSV 导出，报告支持 Markdown 导出；桌面与移动端均可完成核心查询。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9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stack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9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67085"/>
          <w:sz w:val="18"/>
        </w:rPr>
        <w:t>图 1 经营仪表盘实机界面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qu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67085"/>
          <w:sz w:val="18"/>
        </w:rPr>
        <w:t>图 2 自然语言查询结果与只读 SQL</w:t>
      </w:r>
    </w:p>
    <w:p>
      <w:pPr>
        <w:pStyle w:val="Heading1"/>
      </w:pPr>
      <w:r>
        <w:t>4 数据需求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标准明细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record_id、date、region、province、item_id、item_name、category、customer_type、quantity、amount、profit。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指标口径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经营金额=SUM(amount)，数量=SUM(quantity)，业务记录=COUNT(*)，平均金额=SUM(amount)/COUNT(*)，收益=SUM(profit)，收益率=SUM(profit)/SUM(amount)。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数据追溯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正式加载生成批次记录；预检不得修改当前数据或创建批次。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隐私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演示数据为模拟数据；外部 AI 只接收完成解析所需的最小结构化上下文。</w:t>
            </w:r>
          </w:p>
        </w:tc>
      </w:tr>
    </w:tbl>
    <w:p>
      <w:pPr>
        <w:spacing w:after="0"/>
      </w:pPr>
    </w:p>
    <w:p>
      <w:pPr>
        <w:pStyle w:val="Heading1"/>
      </w:pPr>
      <w:r>
        <w:t>5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24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669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NFR-01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可用性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Windows 双击启动；主要页面有加载、空态、错误和重试状态。</w:t>
            </w:r>
          </w:p>
        </w:tc>
      </w:tr>
      <w:tr>
        <w:trPr>
          <w:cantSplit/>
        </w:trPr>
        <w:tc>
          <w:tcPr>
            <w:tcW w:type="dxa" w:w="124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NFR-02</w:t>
            </w:r>
          </w:p>
        </w:tc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性能</w:t>
            </w:r>
          </w:p>
        </w:tc>
        <w:tc>
          <w:tcPr>
            <w:tcW w:type="dxa" w:w="566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本地查询默认超时 5 秒；AI 默认 60 秒；常用仪表盘在演示数据规模下流畅呈现。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NFR-03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安全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API Key 加密保存且不回传；SQL 只读；私网模型地址默认禁止。</w:t>
            </w:r>
          </w:p>
        </w:tc>
      </w:tr>
      <w:tr>
        <w:trPr>
          <w:cantSplit/>
        </w:trPr>
        <w:tc>
          <w:tcPr>
            <w:tcW w:type="dxa" w:w="124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NFR-04</w:t>
            </w:r>
          </w:p>
        </w:tc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可靠性</w:t>
            </w:r>
          </w:p>
        </w:tc>
        <w:tc>
          <w:tcPr>
            <w:tcW w:type="dxa" w:w="566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 不可用自动回退；测试环境与演示环境使用独立 Compose 项目和数据卷。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NFR-05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可维护性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接口有 OpenAPI，数据库用 Alembic，代码和文档受 Git 管理。</w:t>
            </w:r>
          </w:p>
        </w:tc>
      </w:tr>
      <w:tr>
        <w:trPr>
          <w:cantSplit/>
        </w:trPr>
        <w:tc>
          <w:tcPr>
            <w:tcW w:type="dxa" w:w="124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NFR-06</w:t>
            </w:r>
          </w:p>
        </w:tc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可解释性</w:t>
            </w:r>
          </w:p>
        </w:tc>
        <w:tc>
          <w:tcPr>
            <w:tcW w:type="dxa" w:w="566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结果显示数据范围、指标口径、SQL、引擎来源、限制和证据。</w:t>
            </w:r>
          </w:p>
        </w:tc>
      </w:tr>
    </w:tbl>
    <w:p>
      <w:pPr>
        <w:spacing w:after="0"/>
      </w:pPr>
    </w:p>
    <w:p>
      <w:pPr>
        <w:pStyle w:val="Heading1"/>
      </w:pPr>
      <w:r>
        <w:t>6 外部接口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83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4082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Web 应用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http://localhost:8080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Nginx 提供前端和 /api 反向代理。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OpenAPI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/api/docs</w:t>
            </w:r>
          </w:p>
        </w:tc>
        <w:tc>
          <w:tcPr>
            <w:tcW w:type="dxa" w:w="408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FastAPI 自动接口文档。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MySQL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127.0.0.1:3307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仅本机绑定，容器内使用 3306。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HTTPS OpenAI compatible</w:t>
            </w:r>
          </w:p>
        </w:tc>
        <w:tc>
          <w:tcPr>
            <w:tcW w:type="dxa" w:w="408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DeepSeek 默认地址或用户授权的兼容服务。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CSV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UTF-8 文件上传/下载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11 列固定字段，上传大小和内容受校验。</w:t>
            </w:r>
          </w:p>
        </w:tc>
      </w:tr>
    </w:tbl>
    <w:p>
      <w:pPr>
        <w:spacing w:after="0"/>
      </w:pPr>
    </w:p>
    <w:p>
      <w:pPr>
        <w:pStyle w:val="Heading1"/>
      </w:pPr>
      <w:r>
        <w:t>7 验收追踪</w:t>
      </w:r>
    </w:p>
    <w:p>
      <w:r>
        <w:t>FR-01 由启动与健康用例验证；FR-02 至 FR-14 分别由场景、查询、数据、AI、仪表盘、异常、预测、报告、行动和导出用例验证。每项需求必须能关联至少一个测试用例、一个运行证据或一个明确的限制说明。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2.软件需求规约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