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200"/>
        <w:jc w:val="center"/>
      </w:pPr>
      <w:r>
        <w:t>智能 BI 数据洞察与报告生成平台</w:t>
      </w:r>
    </w:p>
    <w:p>
      <w:pPr>
        <w:spacing w:before="360"/>
        <w:jc w:val="center"/>
      </w:pPr>
      <w:r>
        <w:rPr>
          <w:rFonts w:ascii="等线" w:hAnsi="等线"/>
          <w:b/>
          <w:color w:val="1769AA"/>
          <w:sz w:val="44"/>
        </w:rPr>
        <w:t>数据库设计说明书</w:t>
      </w:r>
    </w:p>
    <w:p>
      <w:pPr>
        <w:spacing w:before="1600"/>
        <w:jc w:val="center"/>
      </w:pPr>
      <w:r>
        <w:rPr>
          <w:rFonts w:ascii="等线" w:hAnsi="等线"/>
          <w:color w:val="344054"/>
          <w:sz w:val="24"/>
        </w:rPr>
        <w:t>项目组成员  王正、胡辰朋、杜宇涵</w:t>
        <w:br/>
        <w:t>文档版本  V1.0</w:t>
        <w:br/>
        <w:t>编制日期  2026年9月9日</w:t>
      </w:r>
    </w:p>
    <w:p>
      <w:pPr>
        <w:spacing w:before="1300"/>
        <w:jc w:val="center"/>
      </w:pPr>
      <w:r>
        <w:rPr>
          <w:rFonts w:ascii="等线" w:hAnsi="等线"/>
          <w:color w:val="667085"/>
          <w:sz w:val="21"/>
        </w:rPr>
        <w:t>项目最终交付材料</w:t>
      </w:r>
    </w:p>
    <w:p>
      <w:r>
        <w:br w:type="page"/>
      </w:r>
    </w:p>
    <w:p>
      <w:pPr>
        <w:pStyle w:val="Heading1"/>
      </w:pPr>
      <w:r>
        <w:t>文档信息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文档名称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数据库设计说明书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项目名称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智能 BI 数据洞察与报告生成平台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项目成员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王正、胡辰朋、杜宇涵</w:t>
            </w:r>
          </w:p>
        </w:tc>
      </w:tr>
      <w:tr>
        <w:trPr>
          <w:cantSplit/>
        </w:trPr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版本与状态</w:t>
            </w:r>
          </w:p>
        </w:tc>
        <w:tc>
          <w:tcPr>
            <w:tcW w:type="dxa" w:w="6803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V1.0  最终版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适用范围</w:t>
            </w:r>
          </w:p>
        </w:tc>
        <w:tc>
          <w:tcPr>
            <w:tcW w:type="dxa" w:w="6803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课程实习项目验收、系统演示、答辩与后续维护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fill="EAF3FA"/>
          </w:tcPr>
          <w:p>
            <w:pPr>
              <w:spacing w:after="60"/>
            </w:pPr>
            <w:r>
              <w:rPr>
                <w:rFonts w:ascii="等线" w:hAnsi="等线"/>
                <w:color w:val="24445E"/>
                <w:sz w:val="19"/>
              </w:rPr>
              <w:t>本材料依据当前仓库、运行系统、测试记录和官方文档框架整理。第 12 号成员分工表按要求不编写，本套材料不对三位成员作个人任务拆分。</w:t>
            </w:r>
          </w:p>
        </w:tc>
      </w:tr>
    </w:tbl>
    <w:p>
      <w:pPr>
        <w:spacing w:after="0"/>
      </w:pPr>
    </w:p>
    <w:p>
      <w:pPr>
        <w:pStyle w:val="Heading1"/>
      </w:pPr>
      <w:r>
        <w:t>1 引言</w:t>
      </w:r>
    </w:p>
    <w:p>
      <w:r>
        <w:t>数据库采用 MySQL 8.4 LTS，目标是在一个可审计的数据模型上支撑跨行业演示、自然语言查询、报告、追溯和决策行动。设计坚持统一事实表、受控字段、结构迁移和敏感信息加密四项原则。</w:t>
      </w:r>
    </w:p>
    <w:p>
      <w:pPr>
        <w:pStyle w:val="Heading1"/>
      </w:pPr>
      <w:r>
        <w:t>2 外部设计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设计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数据库标识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smart_bi，字符集 utf8mb4，时区由应用统一处理。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命名规则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表和字段采用小写 snake_case；主键 id；索引以 ix_ 开头。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访问方式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应用通过 SQLAlchemy；结构通过 Alembic；MySQL 只绑定本机 127.0.0.1:3307。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一致性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场景加载和正式导入使用事务替换数据；预检无写入副作用。</w:t>
            </w:r>
          </w:p>
        </w:tc>
      </w:tr>
    </w:tbl>
    <w:p>
      <w:pPr>
        <w:spacing w:after="0"/>
      </w:pPr>
    </w:p>
    <w:p>
      <w:pPr>
        <w:pStyle w:val="Heading1"/>
      </w:pPr>
      <w:r>
        <w:t>3 概念结构</w:t>
      </w:r>
    </w:p>
    <w:p>
      <w:r>
        <w:t>sales_order 是分析事实；metric_definition 和 report_template 提供语义；scenario_state 与 data_import_batch记录当前场景和数据版本；query_history 记录查询审计；decision_action 承接洞察；ai_provider_config 保存外部模型配置。表之间以应用层语义关联为主，避免行业场景切换时产生过度耦合。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15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11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34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关键约束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sales_order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统一经营事实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external_order_id 唯一；金额与收益 decimal(14,2)</w:t>
            </w:r>
          </w:p>
        </w:tc>
      </w:tr>
      <w:tr>
        <w:trPr>
          <w:cantSplit/>
        </w:trPr>
        <w:tc>
          <w:tcPr>
            <w:tcW w:type="dxa" w:w="215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metric_definition</w:t>
            </w:r>
          </w:p>
        </w:tc>
        <w:tc>
          <w:tcPr>
            <w:tcW w:type="dxa" w:w="311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指标名称、公式和说明</w:t>
            </w:r>
          </w:p>
        </w:tc>
        <w:tc>
          <w:tcPr>
            <w:tcW w:type="dxa" w:w="334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metric_code 唯一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report_template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报告类型与模块结构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template_name 唯一；sections 为 JSON</w:t>
            </w:r>
          </w:p>
        </w:tc>
      </w:tr>
      <w:tr>
        <w:trPr>
          <w:cantSplit/>
        </w:trPr>
        <w:tc>
          <w:tcPr>
            <w:tcW w:type="dxa" w:w="215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ai_provider_config</w:t>
            </w:r>
          </w:p>
        </w:tc>
        <w:tc>
          <w:tcPr>
            <w:tcW w:type="dxa" w:w="311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模型地址、模型名和加密密钥</w:t>
            </w:r>
          </w:p>
        </w:tc>
        <w:tc>
          <w:tcPr>
            <w:tcW w:type="dxa" w:w="334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固定单行配置；不保存明文 Key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scenario_state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当前行业和数据来源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固定单行状态</w:t>
            </w:r>
          </w:p>
        </w:tc>
      </w:tr>
      <w:tr>
        <w:trPr>
          <w:cantSplit/>
        </w:trPr>
        <w:tc>
          <w:tcPr>
            <w:tcW w:type="dxa" w:w="215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data_import_batch</w:t>
            </w:r>
          </w:p>
        </w:tc>
        <w:tc>
          <w:tcPr>
            <w:tcW w:type="dxa" w:w="311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数据批次与指纹</w:t>
            </w:r>
          </w:p>
        </w:tc>
        <w:tc>
          <w:tcPr>
            <w:tcW w:type="dxa" w:w="334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指纹 64 位；记录范围而非原文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query_history</w:t>
            </w:r>
          </w:p>
        </w:tc>
        <w:tc>
          <w:tcPr>
            <w:tcW w:type="dxa" w:w="311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问题、引擎、SQL、摘要和耗时</w:t>
            </w:r>
          </w:p>
        </w:tc>
        <w:tc>
          <w:tcPr>
            <w:tcW w:type="dxa" w:w="334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前端仅读取安全摘要</w:t>
            </w:r>
          </w:p>
        </w:tc>
      </w:tr>
      <w:tr>
        <w:trPr>
          <w:cantSplit/>
        </w:trPr>
        <w:tc>
          <w:tcPr>
            <w:tcW w:type="dxa" w:w="215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decision_action</w:t>
            </w:r>
          </w:p>
        </w:tc>
        <w:tc>
          <w:tcPr>
            <w:tcW w:type="dxa" w:w="311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行动状态、证据和复盘</w:t>
            </w:r>
          </w:p>
        </w:tc>
        <w:tc>
          <w:tcPr>
            <w:tcW w:type="dxa" w:w="334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关闭前必须有复盘结论</w:t>
            </w:r>
          </w:p>
        </w:tc>
      </w:tr>
    </w:tbl>
    <w:p>
      <w:pPr>
        <w:spacing w:after="0"/>
      </w:pPr>
    </w:p>
    <w:p>
      <w:pPr>
        <w:pStyle w:val="Heading1"/>
      </w:pPr>
      <w:r>
        <w:t>4 物理结构与数据字典</w:t>
      </w:r>
    </w:p>
    <w:p>
      <w:pPr>
        <w:pStyle w:val="Heading2"/>
      </w:pPr>
      <w:r>
        <w:t>4.1 sales_order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249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32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79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id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bigint PK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自增主键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external_order_id</w:t>
            </w:r>
          </w:p>
        </w:tc>
        <w:tc>
          <w:tcPr>
            <w:tcW w:type="dxa" w:w="232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varchar(40) UK</w:t>
            </w:r>
          </w:p>
        </w:tc>
        <w:tc>
          <w:tcPr>
            <w:tcW w:type="dxa" w:w="379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唯一业务记录号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order_date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date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业务发生日期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region</w:t>
            </w:r>
          </w:p>
        </w:tc>
        <w:tc>
          <w:tcPr>
            <w:tcW w:type="dxa" w:w="232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varchar(20)</w:t>
            </w:r>
          </w:p>
        </w:tc>
        <w:tc>
          <w:tcPr>
            <w:tcW w:type="dxa" w:w="379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一级区域或组织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province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varchar(40)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省份、城市或二级位置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product_id</w:t>
            </w:r>
          </w:p>
        </w:tc>
        <w:tc>
          <w:tcPr>
            <w:tcW w:type="dxa" w:w="232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bigint</w:t>
            </w:r>
          </w:p>
        </w:tc>
        <w:tc>
          <w:tcPr>
            <w:tcW w:type="dxa" w:w="379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分析对象编号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product_name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varchar(120)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商品、服务或业务名称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category</w:t>
            </w:r>
          </w:p>
        </w:tc>
        <w:tc>
          <w:tcPr>
            <w:tcW w:type="dxa" w:w="232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varchar(40)</w:t>
            </w:r>
          </w:p>
        </w:tc>
        <w:tc>
          <w:tcPr>
            <w:tcW w:type="dxa" w:w="379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品类、科室或业务线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customer_type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varchar(40)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客户、患者或用户类型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quantity</w:t>
            </w:r>
          </w:p>
        </w:tc>
        <w:tc>
          <w:tcPr>
            <w:tcW w:type="dxa" w:w="232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int</w:t>
            </w:r>
          </w:p>
        </w:tc>
        <w:tc>
          <w:tcPr>
            <w:tcW w:type="dxa" w:w="379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数量指标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amount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decimal(14,2)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经营金额</w:t>
            </w:r>
          </w:p>
        </w:tc>
      </w:tr>
      <w:tr>
        <w:trPr>
          <w:cantSplit/>
        </w:trPr>
        <w:tc>
          <w:tcPr>
            <w:tcW w:type="dxa" w:w="249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profit</w:t>
            </w:r>
          </w:p>
        </w:tc>
        <w:tc>
          <w:tcPr>
            <w:tcW w:type="dxa" w:w="232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decimal(14,2)</w:t>
            </w:r>
          </w:p>
        </w:tc>
        <w:tc>
          <w:tcPr>
            <w:tcW w:type="dxa" w:w="379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收益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created_at</w:t>
            </w:r>
          </w:p>
        </w:tc>
        <w:tc>
          <w:tcPr>
            <w:tcW w:type="dxa" w:w="232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datetime</w:t>
            </w:r>
          </w:p>
        </w:tc>
        <w:tc>
          <w:tcPr>
            <w:tcW w:type="dxa" w:w="379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7"/>
              </w:rPr>
              <w:t>记录创建时间</w:t>
            </w:r>
          </w:p>
        </w:tc>
      </w:tr>
    </w:tbl>
    <w:p>
      <w:pPr>
        <w:spacing w:after="0"/>
      </w:pPr>
    </w:p>
    <w:p>
      <w:r>
        <w:t>索引：ix_sales_order_date_region(order_date, region)；ix_sales_order_category_customer(category, customer_type)。</w:t>
      </w:r>
    </w:p>
    <w:p>
      <w:pPr>
        <w:pStyle w:val="Heading2"/>
      </w:pPr>
      <w:r>
        <w:t>4.2 管理与审计表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rPr>
          <w:tblHeader w:val="true"/>
        </w:trPr>
        <w:tc>
          <w:tcPr>
            <w:tcW w:type="dxa" w:w="1928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表</w:t>
            </w:r>
          </w:p>
        </w:tc>
        <w:tc>
          <w:tcPr>
            <w:tcW w:type="dxa" w:w="368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主要字段</w:t>
            </w:r>
          </w:p>
        </w:tc>
        <w:tc>
          <w:tcPr>
            <w:tcW w:type="dxa" w:w="3005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6"/>
              </w:rPr>
              <w:t>设计说明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metric_definition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metric_name, metric_code, formula, description, enabled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把计算公式与展示名称分离。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report_template</w:t>
            </w:r>
          </w:p>
        </w:tc>
        <w:tc>
          <w:tcPr>
            <w:tcW w:type="dxa" w:w="368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template_name, report_type, sections, created_at, updated_at</w:t>
            </w:r>
          </w:p>
        </w:tc>
        <w:tc>
          <w:tcPr>
            <w:tcW w:type="dxa" w:w="300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sections 保存有序报告模块。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ai_provider_config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provider_name, base_url, model, encrypted_api_key, api_key_hint, enabled, timeout_seconds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encrypted_api_key 为 Fernet 密文；api_key_hint 仅用于脱敏提示。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scenario_state</w:t>
            </w:r>
          </w:p>
        </w:tc>
        <w:tc>
          <w:tcPr>
            <w:tcW w:type="dxa" w:w="368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scenario_id, data_source, updated_at</w:t>
            </w:r>
          </w:p>
        </w:tc>
        <w:tc>
          <w:tcPr>
            <w:tcW w:type="dxa" w:w="300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data_source 为 demo 或 imported。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data_import_batch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source_type, scenario_id, source_label, row_count, start_date, end_date, data_fingerprint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每次正式加载形成不可变批次摘要。</w:t>
            </w:r>
          </w:p>
        </w:tc>
      </w:tr>
      <w:tr>
        <w:trPr>
          <w:cantSplit/>
        </w:trPr>
        <w:tc>
          <w:tcPr>
            <w:tcW w:type="dxa" w:w="1928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query_history</w:t>
            </w:r>
          </w:p>
        </w:tc>
        <w:tc>
          <w:tcPr>
            <w:tcW w:type="dxa" w:w="368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question, engine, intent_json, generated_sql, parameters_json, summary, status, error_code, duration_ms</w:t>
            </w:r>
          </w:p>
        </w:tc>
        <w:tc>
          <w:tcPr>
            <w:tcW w:type="dxa" w:w="3005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用于性能、来源和错误审计。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decision_action</w:t>
            </w:r>
          </w:p>
        </w:tc>
        <w:tc>
          <w:tcPr>
            <w:tcW w:type="dxa" w:w="368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title, owner, priority, status, due_date, target_metric, source_type, evidence, review_notes</w:t>
            </w:r>
          </w:p>
        </w:tc>
        <w:tc>
          <w:tcPr>
            <w:tcW w:type="dxa" w:w="3005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6"/>
              </w:rPr>
              <w:t>状态流转受后端规则约束。</w:t>
            </w:r>
          </w:p>
        </w:tc>
      </w:tr>
    </w:tbl>
    <w:p>
      <w:pPr>
        <w:spacing w:after="0"/>
      </w:pPr>
    </w:p>
    <w:p>
      <w:pPr>
        <w:pStyle w:val="Heading1"/>
      </w:pPr>
      <w:r>
        <w:t>5 行业数据映射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60"/>
        <w:gridCol w:w="1860"/>
        <w:gridCol w:w="1860"/>
        <w:gridCol w:w="1860"/>
        <w:gridCol w:w="1860"/>
      </w:tblGrid>
      <w:tr>
        <w:trPr>
          <w:tblHeader w:val="true"/>
        </w:trPr>
        <w:tc>
          <w:tcPr>
            <w:tcW w:type="dxa" w:w="136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amount</w:t>
            </w:r>
          </w:p>
        </w:tc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region</w:t>
            </w:r>
          </w:p>
        </w:tc>
        <w:tc>
          <w:tcPr>
            <w:tcW w:type="dxa" w:w="1814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category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电商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GMV/交易额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件数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销售区域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商品品类</w:t>
            </w:r>
          </w:p>
        </w:tc>
      </w:tr>
      <w:tr>
        <w:trPr>
          <w:cantSplit/>
        </w:trPr>
        <w:tc>
          <w:tcPr>
            <w:tcW w:type="dxa" w:w="13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医院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服务收入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服务人次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院区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科室/中心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银行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业务收入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办理笔数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分行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业务条线</w:t>
            </w:r>
          </w:p>
        </w:tc>
      </w:tr>
      <w:tr>
        <w:trPr>
          <w:cantSplit/>
        </w:trPr>
        <w:tc>
          <w:tcPr>
            <w:tcW w:type="dxa" w:w="136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制造业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订单产值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交付数量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工厂</w:t>
            </w:r>
          </w:p>
        </w:tc>
        <w:tc>
          <w:tcPr>
            <w:tcW w:type="dxa" w:w="1814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产品线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互联网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订阅收入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付费席位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业务组</w:t>
            </w:r>
          </w:p>
        </w:tc>
        <w:tc>
          <w:tcPr>
            <w:tcW w:type="dxa" w:w="1814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业务线</w:t>
            </w:r>
          </w:p>
        </w:tc>
      </w:tr>
    </w:tbl>
    <w:p>
      <w:pPr>
        <w:spacing w:after="0"/>
      </w:pPr>
    </w:p>
    <w:p>
      <w:pPr>
        <w:pStyle w:val="Heading1"/>
      </w:pPr>
      <w:r>
        <w:t>6 数据使用与完整性</w:t>
      </w:r>
    </w:p>
    <w:p>
      <w:pPr>
        <w:pStyle w:val="ListBullet"/>
        <w:ind w:left="369" w:hanging="198"/>
      </w:pPr>
      <w:r>
        <w:t>CSV 对应字段为 record_id、date、region、province、item_id、item_name、category、customer_type、quantity、amount、profit。</w:t>
      </w:r>
    </w:p>
    <w:p>
      <w:pPr>
        <w:pStyle w:val="ListBullet"/>
        <w:ind w:left="369" w:hanging="198"/>
      </w:pPr>
      <w:r>
        <w:t>record_id 唯一；日期、数量、金额和收益必须可解析；预检先返回范围、维度和汇总。</w:t>
      </w:r>
    </w:p>
    <w:p>
      <w:pPr>
        <w:pStyle w:val="ListBullet"/>
        <w:ind w:left="369" w:hanging="198"/>
      </w:pPr>
      <w:r>
        <w:t>场景切换和导入清空当前查询历史，防止旧数据结果与新场景混用。</w:t>
      </w:r>
    </w:p>
    <w:p>
      <w:pPr>
        <w:pStyle w:val="ListBullet"/>
        <w:ind w:left="369" w:hanging="198"/>
      </w:pPr>
      <w:r>
        <w:t>查询由后端构造 SELECT 和绑定参数；模型不能提交任意 SQL。</w:t>
      </w:r>
    </w:p>
    <w:p>
      <w:r>
        <w:br w:type="page"/>
      </w:r>
    </w:p>
    <w:p>
      <w:pPr>
        <w:pStyle w:val="Heading1"/>
      </w:pPr>
      <w:r>
        <w:t>7 安全 备份与迁移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4649"/>
      </w:tblGrid>
      <w:tr>
        <w:trPr>
          <w:tblHeader w:val="true"/>
        </w:trPr>
        <w:tc>
          <w:tcPr>
            <w:tcW w:type="dxa" w:w="1701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917"/>
            <w:shd w:fill="1769AA"/>
            <w:vAlign w:val="center"/>
          </w:tcPr>
          <w:p>
            <w:pPr>
              <w:jc w:val="center"/>
            </w:pPr>
            <w:r>
              <w:rPr>
                <w:rFonts w:ascii="等线" w:hAnsi="等线"/>
                <w:b/>
                <w:color w:val="FFFFFF"/>
                <w:sz w:val="18"/>
              </w:rPr>
              <w:t>措施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机密性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API Key 加密；数据库密码保存在不入库的 .env。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网络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MySQL 仅绑定本机；外部 AI 默认只允许安全公网 HTTPS。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迁移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Alembic 前向迁移，测试环境每次从空卷验证。</w:t>
            </w:r>
          </w:p>
        </w:tc>
      </w:tr>
      <w:tr>
        <w:trPr>
          <w:cantSplit/>
        </w:trPr>
        <w:tc>
          <w:tcPr>
            <w:tcW w:type="dxa" w:w="1701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备份</w:t>
            </w:r>
          </w:p>
        </w:tc>
        <w:tc>
          <w:tcPr>
            <w:tcW w:type="dxa" w:w="6917"/>
            <w:shd w:fill="F3F5F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演示环境停止时保留卷；重置必须显式确认；自有 CSV 原文件由用户自行备份。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审计</w:t>
            </w:r>
          </w:p>
        </w:tc>
        <w:tc>
          <w:tcPr>
            <w:tcW w:type="dxa" w:w="6917"/>
            <w:vAlign w:val="center"/>
          </w:tcPr>
          <w:p>
            <w:pPr>
              <w:spacing w:after="20" w:before="20"/>
            </w:pPr>
            <w:r>
              <w:rPr>
                <w:rFonts w:ascii="等线" w:hAnsi="等线"/>
                <w:sz w:val="18"/>
              </w:rPr>
              <w:t>数据批次指纹、查询历史、行动状态和 Git 提交共同形成追踪链。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等线" w:hAnsi="等线"/>
        <w:color w:val="667085"/>
        <w:sz w:val="17"/>
      </w:rPr>
      <w:t xml:space="preserve">第 </w:t>
    </w:r>
    <w:fldSimple w:instr="PAGE"/>
    <w:r>
      <w:rPr>
        <w:rFonts w:ascii="等线" w:hAnsi="等线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等线" w:hAnsi="等线"/>
        <w:color w:val="667085"/>
        <w:sz w:val="17"/>
      </w:rPr>
      <w:t>智能 BI 数据洞察与报告生成平台    DB DESIGN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等线" w:hAnsi="等线"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等线" w:hAnsi="等线" w:eastAsia="等线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等线" w:hAnsi="等线" w:eastAsia="等线"/>
      <w:b/>
      <w:bCs/>
      <w:color w:val="2444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等线" w:hAnsi="等线" w:eastAsia="等线"/>
      <w:b/>
      <w:bCs/>
      <w:color w:val="34405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Theme="majorHAnsi" w:eastAsiaTheme="majorEastAsia" w:hAnsiTheme="majorHAnsi" w:cstheme="majorBidi" w:ascii="等线" w:hAnsi="等线" w:eastAsia="等线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4.数据库设计说明书</dc:title>
  <dc:subject>智能 BI 数据洞察与报告生成平台</dc:subject>
  <dc:creator>王正、胡辰朋、杜宇涵</dc:creator>
  <cp:keywords>智能BI, Text-to-SQL, DeepSeek, FastAPI, Vue, MySQL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