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系统构架设计说明书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系统构架设计说明书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简介</w:t>
      </w:r>
    </w:p>
    <w:p>
      <w:r>
        <w:t>系统采用浏览器、Nginx、FastAPI、MySQL 和可选大模型服务的分层架构。核心设计是把 AI 限制在“生成受控分析意图和辅助叙述”的位置，由本地后端掌握 SQL、数据事实、权限边界和降级，兼顾演示效果与可控性。</w:t>
      </w:r>
    </w:p>
    <w:p>
      <w:pPr>
        <w:pStyle w:val="Heading1"/>
      </w:pPr>
      <w:r>
        <w:t>2 架构目标与约束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设计响应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可直接使用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Docker Compose 统一启动，一键启动器检查依赖并自动打开浏览器。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可解释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界面展示指标口径、数据范围、SQL、AI/本地来源和分析依据。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可扩展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行业场景映射统一事实表；模型采用 OpenAI 兼容接口。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安全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只读参数化 SQL、模型输出校验、密钥加密、私网访问默认关闭。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可验证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独立测试 Compose、mock-llm、后端/前端/构建/浏览器四层回归。</w:t>
            </w:r>
          </w:p>
        </w:tc>
      </w:tr>
    </w:tbl>
    <w:p>
      <w:pPr>
        <w:spacing w:after="0"/>
      </w:pPr>
    </w:p>
    <w:p>
      <w:pPr>
        <w:pStyle w:val="Heading1"/>
      </w:pPr>
      <w:r>
        <w:t>3 构架表示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36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83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42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交互层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Vue 3 应用入口、Vite、兼容工作台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导航、筛选、查询、图表、报告、配置和响应式交互。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网关层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Nginx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静态资源、SPA 回退、/api 反向代理。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服务层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FastAPI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接口、校验、场景、分析、报告、行动和审计。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智能层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AI client、Text-to-SQL resolver、forecast adapter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结构化意图、AI 辅助叙述、OLS/PyTorch 预测。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数据层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SQLAlchemy、Alembic、MySQL 8.4 LTS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事实数据、配置、模板、历史、批次和行动持久化。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外部服务</w:t>
            </w:r>
          </w:p>
        </w:tc>
        <w:tc>
          <w:tcPr>
            <w:tcW w:type="dxa" w:w="283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DeepSeek 或 OpenAI compatible API</w:t>
            </w:r>
          </w:p>
        </w:tc>
        <w:tc>
          <w:tcPr>
            <w:tcW w:type="dxa" w:w="442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按用户配置提供自然语言理解。</w:t>
            </w:r>
          </w:p>
        </w:tc>
      </w:tr>
    </w:tbl>
    <w:p>
      <w:pPr>
        <w:spacing w:after="0"/>
      </w:pPr>
    </w:p>
    <w:p>
      <w:pPr>
        <w:pStyle w:val="Heading1"/>
      </w:pPr>
      <w:r>
        <w:t>4 关键用例视图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85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调用链</w:t>
            </w:r>
          </w:p>
        </w:tc>
        <w:tc>
          <w:tcPr>
            <w:tcW w:type="dxa" w:w="306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关键控制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自然语言查询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Web -&gt; /api/query -&gt; AI/本地解析 -&gt; SQL builder -&gt; MySQL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意图白名单、参数化 SELECT、超时、来源标识。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场景切换</w:t>
            </w:r>
          </w:p>
        </w:tc>
        <w:tc>
          <w:tcPr>
            <w:tcW w:type="dxa" w:w="385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Web -&gt; /api/scenarios/{id}/activate -&gt; seed -&gt; batch</w:t>
            </w:r>
          </w:p>
        </w:tc>
        <w:tc>
          <w:tcPr>
            <w:tcW w:type="dxa" w:w="30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事务替换、540 条数据、清历史、记录指纹。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CSV 导入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下载模板 -&gt; preview -&gt; confirm import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11 列校验、预检无副作用、人工确认。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报告</w:t>
            </w:r>
          </w:p>
        </w:tc>
        <w:tc>
          <w:tcPr>
            <w:tcW w:type="dxa" w:w="385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Web -&gt; /api/reports/generate -&gt; local facts -&gt; optional AI</w:t>
            </w:r>
          </w:p>
        </w:tc>
        <w:tc>
          <w:tcPr>
            <w:tcW w:type="dxa" w:w="30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数字必须存在于本地事实，不合规则回退。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行动闭环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洞察 -&gt; 草案 -&gt; POST/PATCH action -&gt; review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人工确认；复盘前不得关闭。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9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stack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1 系统主界面与经营仪表盘</w:t>
      </w:r>
    </w:p>
    <w:p>
      <w:pPr>
        <w:pStyle w:val="Heading1"/>
      </w:pPr>
      <w:r>
        <w:t>5 逻辑视图</w:t>
      </w:r>
    </w:p>
    <w:p>
      <w:pPr>
        <w:pStyle w:val="ListBullet"/>
        <w:ind w:left="369" w:hanging="198"/>
      </w:pPr>
      <w:r>
        <w:t>API 路由层负责请求/响应模型和 request_id；服务层编排场景、查询、报告、预测与行动。</w:t>
      </w:r>
    </w:p>
    <w:p>
      <w:pPr>
        <w:pStyle w:val="ListBullet"/>
        <w:ind w:left="369" w:hanging="198"/>
      </w:pPr>
      <w:r>
        <w:t>Text-to-SQL 先构造指标、维度、筛选、时间范围等结构化意图，再由 SQL builder 生成只读 SQL。</w:t>
      </w:r>
    </w:p>
    <w:p>
      <w:pPr>
        <w:pStyle w:val="ListBullet"/>
        <w:ind w:left="369" w:hanging="198"/>
      </w:pPr>
      <w:r>
        <w:t>AI 客户端负责 HTTPS、DNS/重定向安全、JSON 清洗、模型响应校验和超时；不直接持有数据库连接。</w:t>
      </w:r>
    </w:p>
    <w:p>
      <w:pPr>
        <w:pStyle w:val="ListBullet"/>
        <w:ind w:left="369" w:hanging="198"/>
      </w:pPr>
      <w:r>
        <w:t>数据上下文模块提供数据起止、批次、指标字典和行业术语，使结论带有口径和范围。</w:t>
      </w:r>
    </w:p>
    <w:p>
      <w:pPr>
        <w:pStyle w:val="Heading1"/>
      </w:pPr>
      <w:r>
        <w:t>6 部署视图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容器/节点</w:t>
            </w:r>
          </w:p>
        </w:tc>
        <w:tc>
          <w:tcPr>
            <w:tcW w:type="dxa" w:w="238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419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依赖与健康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浏览器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访问 8080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加载 Nginx 前端，调用同源 /api。</w:t>
            </w:r>
          </w:p>
        </w:tc>
      </w:tr>
      <w:tr>
        <w:trPr>
          <w:cantSplit/>
        </w:trPr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frontend/nginx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127.0.0.1:8080 -&gt; 80</w:t>
            </w:r>
          </w:p>
        </w:tc>
        <w:tc>
          <w:tcPr>
            <w:tcW w:type="dxa" w:w="419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依赖 backend；提供静态资源与代理。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backend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容器内 8000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依赖 mysql；启动时执行迁移；/api/health。</w:t>
            </w:r>
          </w:p>
        </w:tc>
      </w:tr>
      <w:tr>
        <w:trPr>
          <w:cantSplit/>
        </w:trPr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mysql</w:t>
            </w:r>
          </w:p>
        </w:tc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127.0.0.1:3307 -&gt; 3306</w:t>
            </w:r>
          </w:p>
        </w:tc>
        <w:tc>
          <w:tcPr>
            <w:tcW w:type="dxa" w:w="419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MySQL 8.4 LTS；持久化卷；健康检查。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external AI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443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仅保存配置且启用时调用；不可用则回退。</w:t>
            </w:r>
          </w:p>
        </w:tc>
      </w:tr>
    </w:tbl>
    <w:p>
      <w:pPr>
        <w:spacing w:after="0"/>
      </w:pPr>
    </w:p>
    <w:p>
      <w:pPr>
        <w:pStyle w:val="Heading1"/>
      </w:pPr>
      <w:r>
        <w:t>7 接口设计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7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接口族</w:t>
            </w:r>
          </w:p>
        </w:tc>
        <w:tc>
          <w:tcPr>
            <w:tcW w:type="dxa" w:w="374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典型接口</w:t>
            </w:r>
          </w:p>
        </w:tc>
        <w:tc>
          <w:tcPr>
            <w:tcW w:type="dxa" w:w="300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健康与元数据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 /api/health, /api/metadata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服务状态、数据范围和指标口径。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场景与导入</w:t>
            </w:r>
          </w:p>
        </w:tc>
        <w:tc>
          <w:tcPr>
            <w:tcW w:type="dxa" w:w="374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 /api/scenarios; POST activate/preview/import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模板、场景切换和自有数据。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查询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POST /api/query; GET /api/query/history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自然语言查询和审计摘要。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分析</w:t>
            </w:r>
          </w:p>
        </w:tc>
        <w:tc>
          <w:tcPr>
            <w:tcW w:type="dxa" w:w="374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 dashboard/anomalies/forecast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经营概览、异常和趋势。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报告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GET/POST /api/reports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模板、自定义生成和导出数据。</w:t>
            </w:r>
          </w:p>
        </w:tc>
      </w:tr>
      <w:tr>
        <w:trPr>
          <w:cantSplit/>
        </w:trPr>
        <w:tc>
          <w:tcPr>
            <w:tcW w:type="dxa" w:w="187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行动</w:t>
            </w:r>
          </w:p>
        </w:tc>
        <w:tc>
          <w:tcPr>
            <w:tcW w:type="dxa" w:w="374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GET/POST/PATCH /api/actions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建议落地和复盘。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AI 配置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GET/PUT/DELETE /api/ai-config; POST test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模型接入、连接验证和删除。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38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stack-ai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2 DeepSeek 与兼容模型配置界面</w:t>
      </w:r>
    </w:p>
    <w:p>
      <w:pPr>
        <w:pStyle w:val="Heading1"/>
      </w:pPr>
      <w:r>
        <w:t>8 安全与容错</w:t>
      </w:r>
    </w:p>
    <w:p>
      <w:pPr>
        <w:pStyle w:val="ListBullet"/>
        <w:ind w:left="369" w:hanging="198"/>
      </w:pPr>
      <w:r>
        <w:t>所有业务 SQL 在后端白名单构造并参数化执行；未知意图和写操作被拒绝。</w:t>
      </w:r>
    </w:p>
    <w:p>
      <w:pPr>
        <w:pStyle w:val="ListBullet"/>
        <w:ind w:left="369" w:hanging="198"/>
      </w:pPr>
      <w:r>
        <w:t>API Key 用 Fernet 加密，接口和日志只显示脱敏提示；密钥不进入前端持久状态。</w:t>
      </w:r>
    </w:p>
    <w:p>
      <w:pPr>
        <w:pStyle w:val="ListBullet"/>
        <w:ind w:left="369" w:hanging="198"/>
      </w:pPr>
      <w:r>
        <w:t>DeepSeek 官方 HTTPS 可兼容本机代理 Fake-IP；其他自定义地址仍按默认私网阻断策略处理。</w:t>
      </w:r>
    </w:p>
    <w:p>
      <w:pPr>
        <w:pStyle w:val="ListBullet"/>
        <w:ind w:left="369" w:hanging="198"/>
      </w:pPr>
      <w:r>
        <w:t>AI 失败、预测引擎缺失、报告叙述不合规时均有明确本地回退，不影响核心业务链。</w:t>
      </w:r>
    </w:p>
    <w:p>
      <w:pPr>
        <w:pStyle w:val="Heading1"/>
      </w:pPr>
      <w:r>
        <w:t>9 架构边界</w:t>
      </w:r>
    </w:p>
    <w:p>
      <w:r>
        <w:t>当前版本是单机原型，未实现企业 RBAC、多租户、异步任务队列、数据仓库连接器和生产监控。演进时应保留现有受控意图、数据口径和测试隔离原则，再逐步引入身份权限、连接器、任务编排和可观测性。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SAD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5.系统构架设计说明书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