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测试计划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测试计划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简介</w:t>
      </w:r>
    </w:p>
    <w:p>
      <w:r>
        <w:t>本计划验证项目是否满足需求规约，并明确测试范围、环境、类型、通过标准、缺陷处理和交付证据。重点验证从一键启动到数据决策闭环的真实可用性，以及 AI、SQL 和数据导入的安全边界。</w:t>
      </w:r>
    </w:p>
    <w:p>
      <w:pPr>
        <w:pStyle w:val="Heading1"/>
      </w:pPr>
      <w:r>
        <w:t>2 测试范围与需求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测试域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部署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Docker Desktop 检查、首次配置、Compose、健康、浏览器自动打开、停止与日志。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业务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场景、导入、仪表盘、查询、异常、预测、报告、行动、历史和导出。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DeepSeek 默认配置、兼容模型、AI 优先、意图校验、超时和本地回退。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11 列校验、指标口径、批次指纹、迁移、事务和重启不重复播种。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非功能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桌面/移动端、错误状态、敏感信息、SQL 只读、构建与可维护性。</w:t>
            </w:r>
          </w:p>
        </w:tc>
      </w:tr>
    </w:tbl>
    <w:p>
      <w:pPr>
        <w:spacing w:after="0"/>
      </w:pPr>
    </w:p>
    <w:p>
      <w:pPr>
        <w:pStyle w:val="Heading1"/>
      </w:pPr>
      <w:r>
        <w:t>3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3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85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后端单元/集成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Pytest + 独立 MySQL + mock-llm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路由、服务、SQL、AI、数据、报告和行动。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前端单元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Node test</w:t>
            </w:r>
          </w:p>
        </w:tc>
        <w:tc>
          <w:tcPr>
            <w:tcW w:type="dxa" w:w="385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API 客户端、格式化、安全和状态逻辑。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生产构建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Vite + Nginx image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Vue 入口、资源输出和 SPA 托管。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端到端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Playwright + Chrome</w:t>
            </w:r>
          </w:p>
        </w:tc>
        <w:tc>
          <w:tcPr>
            <w:tcW w:type="dxa" w:w="385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桌面、移动、查询、报告、配置、异常和行动。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人工实机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localhost:8080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启动、场景切换、AI 查询和演示观感。</w:t>
            </w:r>
          </w:p>
        </w:tc>
      </w:tr>
    </w:tbl>
    <w:p>
      <w:pPr>
        <w:spacing w:after="0"/>
      </w:pPr>
    </w:p>
    <w:p>
      <w:pPr>
        <w:pStyle w:val="Heading1"/>
      </w:pPr>
      <w:r>
        <w:t>4 环境与隔离</w:t>
      </w:r>
    </w:p>
    <w:p>
      <w:pPr>
        <w:pStyle w:val="ListBullet"/>
        <w:ind w:left="369" w:hanging="198"/>
      </w:pPr>
      <w:r>
        <w:t>正常系统使用 8080 与正常 MySQL 卷；测试系统使用固定 -test Compose 项目、8081 和独立数据卷。</w:t>
      </w:r>
    </w:p>
    <w:p>
      <w:pPr>
        <w:pStyle w:val="ListBullet"/>
        <w:ind w:left="369" w:hanging="198"/>
      </w:pPr>
      <w:r>
        <w:t>测试 AI 使用 mock-llm，不调用真实 Key、不产生外部费用；真实 DeepSeek 只作单独实机连接验证。</w:t>
      </w:r>
    </w:p>
    <w:p>
      <w:pPr>
        <w:pStyle w:val="ListBullet"/>
        <w:ind w:left="369" w:hanging="198"/>
      </w:pPr>
      <w:r>
        <w:t>完整脚本结束后自动清理测试容器和测试卷，不修改正常系统数据、场景和 AI 配置。</w:t>
      </w:r>
    </w:p>
    <w:p>
      <w:pPr>
        <w:pStyle w:val="Heading1"/>
      </w:pPr>
      <w:r>
        <w:t>5 进入与退出标准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进入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需求和接口可测试；代码可构建；Docker 可用；测试数据和 mock 服务就绪。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通过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自动化命令退出码 0；严重缺陷为 0；核心演示链人工通过；无密钥泄漏。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条件通过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仅存在已记录的低风险限制，且不影响核心演示与数据正确性。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不通过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服务不可启动、数据写错、SQL 可写、Key 泄漏、AI 无回退或主流程中断。</w:t>
            </w:r>
          </w:p>
        </w:tc>
      </w:tr>
    </w:tbl>
    <w:p>
      <w:pPr>
        <w:spacing w:after="0"/>
      </w:pPr>
    </w:p>
    <w:p>
      <w:pPr>
        <w:pStyle w:val="Heading1"/>
      </w:pPr>
      <w:r>
        <w:t>6 测试进度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测试活动</w:t>
            </w:r>
          </w:p>
        </w:tc>
        <w:tc>
          <w:tcPr>
            <w:tcW w:type="dxa" w:w="283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设计期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评审需求可测性、数据模型和安全边界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测试计划、用例初稿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实现期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新增功能同步补单元/集成测试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持续测试记录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联调期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生产构建、Nginx、Chrome E2E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端到端证据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交付期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全量回归、实机截图、缺陷关闭检查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测试日志、总结报告</w:t>
            </w:r>
          </w:p>
        </w:tc>
      </w:tr>
    </w:tbl>
    <w:p>
      <w:pPr>
        <w:spacing w:after="0"/>
      </w:pPr>
    </w:p>
    <w:p>
      <w:pPr>
        <w:pStyle w:val="Heading1"/>
      </w:pPr>
      <w:r>
        <w:t>7 缺陷管理</w:t>
      </w:r>
    </w:p>
    <w:p>
      <w:pPr>
        <w:pStyle w:val="ListNumber"/>
        <w:ind w:left="369" w:hanging="198"/>
      </w:pPr>
      <w:r>
        <w:t>记录问题编号、描述、严重等级、发现阶段、对策、计划与实际关闭日期。</w:t>
      </w:r>
    </w:p>
    <w:p>
      <w:pPr>
        <w:pStyle w:val="ListNumber"/>
        <w:ind w:left="369" w:hanging="198"/>
      </w:pPr>
      <w:r>
        <w:t>高等级问题优先阻止发布，中等级问题需有回归用例，低等级问题可在不影响验收时记录边界。</w:t>
      </w:r>
    </w:p>
    <w:p>
      <w:pPr>
        <w:pStyle w:val="ListNumber"/>
        <w:ind w:left="369" w:hanging="198"/>
      </w:pPr>
      <w:r>
        <w:t>关闭前由另一轮测试或自动化证据验证；问题状态同步到项目问题跟踪表。</w:t>
      </w:r>
    </w:p>
    <w:p>
      <w:pPr>
        <w:pStyle w:val="Heading1"/>
      </w:pPr>
      <w:r>
        <w:t>8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83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测试风险</w:t>
            </w:r>
          </w:p>
        </w:tc>
        <w:tc>
          <w:tcPr>
            <w:tcW w:type="dxa" w:w="578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真实 AI 波动或产生费用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自动化使用 mock-llm；真实连接只做最小必要验证。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测试污染演示数据</w:t>
            </w:r>
          </w:p>
        </w:tc>
        <w:tc>
          <w:tcPr>
            <w:tcW w:type="dxa" w:w="578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独立 Compose 项目、端口和卷；结束自动清理。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浏览器截图掩盖后端问题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同时保存健康、接口、SQL 和测试输出证据。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旧截图与当前版本不一致</w:t>
            </w:r>
          </w:p>
        </w:tc>
        <w:tc>
          <w:tcPr>
            <w:tcW w:type="dxa" w:w="578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最终材料标注截图日期和功能范围，关键页面使用最新验证图。</w:t>
            </w:r>
          </w:p>
        </w:tc>
      </w:tr>
    </w:tbl>
    <w:p>
      <w:pPr>
        <w:spacing w:after="0"/>
      </w:pPr>
    </w:p>
    <w:p>
      <w:pPr>
        <w:pStyle w:val="Heading1"/>
      </w:pPr>
      <w:r>
        <w:t>9 验收结果记录规则</w:t>
      </w:r>
    </w:p>
    <w:p>
      <w:r>
        <w:t>完整回归的测试数量和日期只在命令结束后写入测试日志与总结；界面“可用”结论至少需要服务健康和一次实际交互，不将静态构建成功等同于全系统运行成功。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6.测试计划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