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智能 BI 数据洞察与报告生成平台</w:t>
      </w:r>
    </w:p>
    <w:p>
      <w:pPr>
        <w:spacing w:before="360"/>
        <w:jc w:val="center"/>
      </w:pPr>
      <w:r>
        <w:rPr>
          <w:rFonts w:ascii="等线" w:hAnsi="等线"/>
          <w:b/>
          <w:color w:val="1769AA"/>
          <w:sz w:val="44"/>
        </w:rPr>
        <w:t>测试用例</w:t>
      </w:r>
    </w:p>
    <w:p>
      <w:pPr>
        <w:spacing w:before="1600"/>
        <w:jc w:val="center"/>
      </w:pPr>
      <w:r>
        <w:rPr>
          <w:rFonts w:ascii="等线" w:hAnsi="等线"/>
          <w:color w:val="344054"/>
          <w:sz w:val="24"/>
        </w:rPr>
        <w:t>项目组成员  王正、胡辰朋、杜宇涵</w:t>
        <w:br/>
        <w:t>文档版本  V1.0</w:t>
        <w:br/>
        <w:t>编制日期  2026年9月9日</w:t>
      </w:r>
    </w:p>
    <w:p>
      <w:pPr>
        <w:spacing w:before="1300"/>
        <w:jc w:val="center"/>
      </w:pPr>
      <w:r>
        <w:rPr>
          <w:rFonts w:ascii="等线" w:hAnsi="等线"/>
          <w:color w:val="667085"/>
          <w:sz w:val="21"/>
        </w:rPr>
        <w:t>项目最终交付材料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测试用例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项目名称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智能 BI 数据洞察与报告生成平台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项目成员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版本与状态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V1.0  最终版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课程实习项目验收、系统演示、答辩与后续维护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本材料依据当前仓库、运行系统、测试记录和官方文档框架整理。第 12 号成员分工表按要求不编写，本套材料不对三位成员作个人任务拆分。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操作系统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Windows 10/11，Docker Desktop，Chrome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测试服务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独立 -test Compose，前端 8081，独立 MySQL 卷，mock-llm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被测技术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Vue 3/Vite、Nginx、FastAPI、MySQL 8.4 LTS、DeepSeek compatible API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测试数据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五行业各 540 条模拟数据；36 行电商导入样例</w:t>
            </w:r>
          </w:p>
        </w:tc>
      </w:tr>
    </w:tbl>
    <w:p>
      <w:pPr>
        <w:spacing w:after="0"/>
      </w:pPr>
    </w:p>
    <w:p>
      <w:pPr>
        <w:pStyle w:val="Heading1"/>
      </w:pPr>
      <w:r>
        <w:t>2 测试用例总表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1550"/>
        <w:gridCol w:w="1550"/>
        <w:gridCol w:w="1550"/>
        <w:gridCol w:w="1550"/>
        <w:gridCol w:w="1550"/>
      </w:tblGrid>
      <w:tr>
        <w:trPr>
          <w:tblHeader w:val="true"/>
        </w:trPr>
        <w:tc>
          <w:tcPr>
            <w:tcW w:type="dxa" w:w="96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14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4"/>
              </w:rPr>
              <w:t>模块</w:t>
            </w:r>
          </w:p>
        </w:tc>
        <w:tc>
          <w:tcPr>
            <w:tcW w:type="dxa" w:w="175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4"/>
              </w:rPr>
              <w:t>前置条件</w:t>
            </w:r>
          </w:p>
        </w:tc>
        <w:tc>
          <w:tcPr>
            <w:tcW w:type="dxa" w:w="204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4"/>
              </w:rPr>
              <w:t>步骤</w:t>
            </w:r>
          </w:p>
        </w:tc>
        <w:tc>
          <w:tcPr>
            <w:tcW w:type="dxa" w:w="294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4"/>
              </w:rPr>
              <w:t>预期结果</w:t>
            </w:r>
          </w:p>
        </w:tc>
        <w:tc>
          <w:tcPr>
            <w:tcW w:type="dxa" w:w="680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4"/>
              </w:rPr>
              <w:t>级别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TC-01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一键启动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Docker 可用，系统停止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双击启动智能BI系统.cmd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三服务启动；健康通过；自动打开 8080；生成日志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TC-02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启动容错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模拟首次构建临时失败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再次执行启动器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自动重试或复用最近镜像；失败信息可诊断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TC-03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场景切换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进入场景库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依次激活电商/医院/银行/制造/互联网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术语、问题和 540 条数据同步替换并记录批次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TC-04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CSV 预检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选择电商模板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上传 36 行演示 CSV 并点击检查数据质量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返回 36 行、11 列、日期/维度/金额汇总；当前数据不变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TC-05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非法 CSV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准备缺列或重复编号文件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提交预检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明确指出错误；禁止确认导入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TC-06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AI 配置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进入系统配置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选择 DeepSeek，仅填 Key，连接测试并保存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显示连接成功和脱敏提示；Key 不回传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TC-07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模板问题 AI 优先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有效 AI 已启用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点击任一场景模板问题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查询历史 engine=ai；界面标记 AI；SQL 通过校验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TC-08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AI 回退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mock AI 超时或返回非法意图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提交可由本地规则识别的问题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提示 AI 失败并回退；仍返回正确只读结果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TC-09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自由问题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有效 AI 已启用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输入最近完整月华东最高商品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解析筛选/时间/排序；返回摘要、SQL、图表和表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TC-10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SQL 安全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API 可用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提交写入、多语句或未知字段意图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后端拒绝；数据库不变；返回安全错误码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TC-11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仪表盘联动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场景数据已加载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修改时间、区域、类别、对象筛选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KPI 和图表同步更新；范围与口径可见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TC-12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异常归因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存在月份波动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打开异常页并查看下钻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显示异常幅度、影响维度、证据和待核查线索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TC-13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预测模拟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至少 12 个月历史数据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运行下月预测和投入/价格假设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返回预测值、区间、依据、模拟变化和限制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TC-14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AI 报告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AI 已启用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生成含五模块月报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本地事实完整；AI 叙述不新增事实外数字；可导出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TC-15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本地报告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删除/禁用 AI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再次生成报告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本地事实与规则叙述正常；明确来源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TC-16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行动闭环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异常或预测可用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创建草案、标记执行中、填写复盘并关闭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状态合法；未写复盘时禁止关闭；汇总更新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TC-17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查询历史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完成成功和失败查询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刷新历史列表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问题、引擎、状态、耗时和摘要正确；无敏感参数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TC-18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导出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存在查询和报告结果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导出 CSV 与 Markdown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下载成功；编码正确；内容与页面一致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TC-19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响应式</w:t>
            </w:r>
          </w:p>
        </w:tc>
        <w:tc>
          <w:tcPr>
            <w:tcW w:type="dxa" w:w="175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390x844 Chrome 视口</w:t>
            </w:r>
          </w:p>
        </w:tc>
        <w:tc>
          <w:tcPr>
            <w:tcW w:type="dxa" w:w="204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完成一次查询并查看结果</w:t>
            </w:r>
          </w:p>
        </w:tc>
        <w:tc>
          <w:tcPr>
            <w:tcW w:type="dxa" w:w="294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控件不重叠；主要结果可阅读和滚动</w:t>
            </w:r>
          </w:p>
        </w:tc>
        <w:tc>
          <w:tcPr>
            <w:tcW w:type="dxa" w:w="68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96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TC-20</w:t>
            </w:r>
          </w:p>
        </w:tc>
        <w:tc>
          <w:tcPr>
            <w:tcW w:type="dxa" w:w="14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重启持久化</w:t>
            </w:r>
          </w:p>
        </w:tc>
        <w:tc>
          <w:tcPr>
            <w:tcW w:type="dxa" w:w="175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正常库含一个活动场景</w:t>
            </w:r>
          </w:p>
        </w:tc>
        <w:tc>
          <w:tcPr>
            <w:tcW w:type="dxa" w:w="204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重启后端容器</w:t>
            </w:r>
          </w:p>
        </w:tc>
        <w:tc>
          <w:tcPr>
            <w:tcW w:type="dxa" w:w="294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场景和数据保持；不会再次播种造成记录翻倍</w:t>
            </w:r>
          </w:p>
        </w:tc>
        <w:tc>
          <w:tcPr>
            <w:tcW w:type="dxa" w:w="68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4"/>
              </w:rPr>
              <w:t>P0</w:t>
            </w:r>
          </w:p>
        </w:tc>
      </w:tr>
    </w:tbl>
    <w:p>
      <w:pPr>
        <w:spacing w:after="0"/>
      </w:pPr>
    </w:p>
    <w:p>
      <w:pPr>
        <w:pStyle w:val="Heading1"/>
      </w:pPr>
      <w:r>
        <w:t>3 核心用例详细步骤</w:t>
      </w:r>
    </w:p>
    <w:p>
      <w:pPr>
        <w:pStyle w:val="Heading2"/>
      </w:pPr>
      <w:r>
        <w:t>3.1 TC-07 模板问题 AI 优先</w:t>
      </w:r>
    </w:p>
    <w:p>
      <w:pPr>
        <w:pStyle w:val="ListNumber"/>
        <w:ind w:left="369" w:hanging="198"/>
      </w:pPr>
      <w:r>
        <w:t>在系统配置选择 DeepSeek API，输入有效 Key，完成连接测试并保存。</w:t>
      </w:r>
    </w:p>
    <w:p>
      <w:pPr>
        <w:pStyle w:val="ListNumber"/>
        <w:ind w:left="369" w:hanging="198"/>
      </w:pPr>
      <w:r>
        <w:t>切换到任一行业场景，点击“发生了什么”下的模板问题。</w:t>
      </w:r>
    </w:p>
    <w:p>
      <w:pPr>
        <w:pStyle w:val="ListNumber"/>
        <w:ind w:left="369" w:hanging="198"/>
      </w:pPr>
      <w:r>
        <w:t>等待查询结束，检查结果摘要中的 AI 状态、生成 SQL、图表和结果表。</w:t>
      </w:r>
    </w:p>
    <w:p>
      <w:pPr>
        <w:pStyle w:val="ListNumber"/>
        <w:ind w:left="369" w:hanging="198"/>
      </w:pPr>
      <w:r>
        <w:t>打开查询历史，确认引擎为 AI；若出现回退，检查 warning 和后端日志。</w:t>
      </w:r>
    </w:p>
    <w:p>
      <w:r>
        <w:t>通过标准：模板问题不绕过已启用 AI；模型结果仍须通过只读 SQL 校验。</w:t>
      </w:r>
    </w:p>
    <w:p>
      <w:pPr>
        <w:pStyle w:val="Heading2"/>
      </w:pPr>
      <w:r>
        <w:t>3.2 TC-04 CSV 无副作用预检</w:t>
      </w:r>
    </w:p>
    <w:p>
      <w:pPr>
        <w:pStyle w:val="ListNumber"/>
        <w:ind w:left="369" w:hanging="198"/>
      </w:pPr>
      <w:r>
        <w:t>记录当前场景、订单数、查询历史数和数据批次数。</w:t>
      </w:r>
    </w:p>
    <w:p>
      <w:pPr>
        <w:pStyle w:val="ListNumber"/>
        <w:ind w:left="369" w:hanging="198"/>
      </w:pPr>
      <w:r>
        <w:t>下载电商模板，上传截图素材库配套的 36 行模拟 CSV。</w:t>
      </w:r>
    </w:p>
    <w:p>
      <w:pPr>
        <w:pStyle w:val="ListNumber"/>
        <w:ind w:left="369" w:hanging="198"/>
      </w:pPr>
      <w:r>
        <w:t>点击检查数据质量，不点击确认导入。</w:t>
      </w:r>
    </w:p>
    <w:p>
      <w:pPr>
        <w:pStyle w:val="ListNumber"/>
        <w:ind w:left="369" w:hanging="198"/>
      </w:pPr>
      <w:r>
        <w:t>比较预检前后场景、订单、历史和批次。</w:t>
      </w:r>
    </w:p>
    <w:p>
      <w:r>
        <w:t>通过标准：预检显示 36 行、2026-01 至 2026-06 的范围与汇总；预检前后数据库业务状态完全一致。</w:t>
      </w:r>
    </w:p>
    <w:p>
      <w:pPr>
        <w:pStyle w:val="Heading2"/>
      </w:pPr>
      <w:r>
        <w:t>3.3 TC-16 决策行动闭环</w:t>
      </w:r>
    </w:p>
    <w:p>
      <w:pPr>
        <w:pStyle w:val="ListNumber"/>
        <w:ind w:left="369" w:hanging="198"/>
      </w:pPr>
      <w:r>
        <w:t>从异常或预测结果载入建议草案，填写行动标题、负责人、截止时间、目标指标和证据。</w:t>
      </w:r>
    </w:p>
    <w:p>
      <w:pPr>
        <w:pStyle w:val="ListNumber"/>
        <w:ind w:left="369" w:hanging="198"/>
      </w:pPr>
      <w:r>
        <w:t>创建行动并标记为执行中。</w:t>
      </w:r>
    </w:p>
    <w:p>
      <w:pPr>
        <w:pStyle w:val="ListNumber"/>
        <w:ind w:left="369" w:hanging="198"/>
      </w:pPr>
      <w:r>
        <w:t>尝试在不填写复盘结论时关闭，确认系统拒绝。</w:t>
      </w:r>
    </w:p>
    <w:p>
      <w:pPr>
        <w:pStyle w:val="ListNumber"/>
        <w:ind w:left="369" w:hanging="198"/>
      </w:pPr>
      <w:r>
        <w:t>填写复盘结论后关闭，检查汇总和历史状态。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71800" cy="10230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-stack-mobile-qu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230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667085"/>
          <w:sz w:val="18"/>
        </w:rPr>
        <w:t>图 1 移动视口的查询用例实机证据</w:t>
      </w:r>
    </w:p>
    <w:p>
      <w:pPr>
        <w:pStyle w:val="Heading1"/>
      </w:pPr>
      <w:r>
        <w:t>4 需求覆盖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226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需求域</w:t>
            </w:r>
          </w:p>
        </w:tc>
        <w:tc>
          <w:tcPr>
            <w:tcW w:type="dxa" w:w="6350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覆盖用例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部署与可用性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TC-01、TC-02、TC-19、TC-20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场景与数据</w:t>
            </w:r>
          </w:p>
        </w:tc>
        <w:tc>
          <w:tcPr>
            <w:tcW w:type="dxa" w:w="635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TC-03、TC-04、TC-05、TC-11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查询与 AI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TC-06 至 TC-10、TC-17</w:t>
            </w:r>
          </w:p>
        </w:tc>
      </w:tr>
      <w:tr>
        <w:trPr>
          <w:cantSplit/>
        </w:trPr>
        <w:tc>
          <w:tcPr>
            <w:tcW w:type="dxa" w:w="226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决策分析</w:t>
            </w:r>
          </w:p>
        </w:tc>
        <w:tc>
          <w:tcPr>
            <w:tcW w:type="dxa" w:w="6350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TC-12 至 TC-16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输出</w:t>
            </w:r>
          </w:p>
        </w:tc>
        <w:tc>
          <w:tcPr>
            <w:tcW w:type="dxa" w:w="6350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TC-18、TC-19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/>
        <w:color w:val="667085"/>
        <w:sz w:val="17"/>
      </w:rPr>
      <w:t xml:space="preserve">第 </w:t>
    </w:r>
    <w:fldSimple w:instr="PAGE"/>
    <w:r>
      <w:rPr>
        <w:rFonts w:ascii="等线" w:hAnsi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/>
        <w:color w:val="667085"/>
        <w:sz w:val="17"/>
      </w:rPr>
      <w:t>智能 BI 数据洞察与报告生成平台    TEST CASES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444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7.测试用例</dc:title>
  <dc:subject>智能 BI 数据洞察与报告生成平台</dc:subject>
  <dc:creator>王正、胡辰朋、杜宇涵</dc:creator>
  <cp:keywords>智能BI, Text-to-SQL, DeepSeek, FastAPI, Vue,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