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智能 BI 数据洞察与报告生成平台</w:t>
      </w:r>
    </w:p>
    <w:p>
      <w:pPr>
        <w:spacing w:before="360"/>
        <w:jc w:val="center"/>
      </w:pPr>
      <w:r>
        <w:rPr>
          <w:rFonts w:ascii="等线" w:hAnsi="等线"/>
          <w:b/>
          <w:color w:val="1769AA"/>
          <w:sz w:val="44"/>
        </w:rPr>
        <w:t>测试日志</w:t>
      </w:r>
    </w:p>
    <w:p>
      <w:pPr>
        <w:spacing w:before="1600"/>
        <w:jc w:val="center"/>
      </w:pPr>
      <w:r>
        <w:rPr>
          <w:rFonts w:ascii="等线" w:hAnsi="等线"/>
          <w:color w:val="344054"/>
          <w:sz w:val="24"/>
        </w:rPr>
        <w:t>项目组成员  王正、胡辰朋、杜宇涵</w:t>
        <w:br/>
        <w:t>文档版本  V1.0</w:t>
        <w:br/>
        <w:t>编制日期  2026年9月9日</w:t>
      </w:r>
    </w:p>
    <w:p>
      <w:pPr>
        <w:spacing w:before="1300"/>
        <w:jc w:val="center"/>
      </w:pPr>
      <w:r>
        <w:rPr>
          <w:rFonts w:ascii="等线" w:hAnsi="等线"/>
          <w:color w:val="667085"/>
          <w:sz w:val="21"/>
        </w:rPr>
        <w:t>项目最终交付材料</w:t>
      </w:r>
    </w:p>
    <w:p>
      <w:r>
        <w:br w:type="page"/>
      </w:r>
    </w:p>
    <w:p>
      <w:pPr>
        <w:pStyle w:val="Heading1"/>
      </w:pPr>
      <w:r>
        <w:t>文档信息</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1814"/>
            <w:shd w:fill="1769AA"/>
            <w:vAlign w:val="center"/>
          </w:tcPr>
          <w:p>
            <w:pPr>
              <w:jc w:val="center"/>
            </w:pPr>
            <w:r>
              <w:rPr>
                <w:rFonts w:ascii="等线" w:hAnsi="等线"/>
                <w:b/>
                <w:color w:val="FFFFFF"/>
                <w:sz w:val="18"/>
              </w:rPr>
              <w:t>项目</w:t>
            </w:r>
          </w:p>
        </w:tc>
        <w:tc>
          <w:tcPr>
            <w:tcW w:type="dxa" w:w="6803"/>
            <w:shd w:fill="1769AA"/>
            <w:vAlign w:val="center"/>
          </w:tcPr>
          <w:p>
            <w:pPr>
              <w:jc w:val="center"/>
            </w:pPr>
            <w:r>
              <w:rPr>
                <w:rFonts w:ascii="等线" w:hAnsi="等线"/>
                <w:b/>
                <w:color w:val="FFFFFF"/>
                <w:sz w:val="18"/>
              </w:rPr>
              <w:t>内容</w:t>
            </w:r>
          </w:p>
        </w:tc>
      </w:tr>
      <w:tr>
        <w:trPr>
          <w:cantSplit/>
        </w:trPr>
        <w:tc>
          <w:tcPr>
            <w:tcW w:type="dxa" w:w="1814"/>
            <w:vAlign w:val="center"/>
          </w:tcPr>
          <w:p>
            <w:pPr>
              <w:spacing w:after="20" w:before="20"/>
            </w:pPr>
            <w:r>
              <w:rPr>
                <w:rFonts w:ascii="等线" w:hAnsi="等线"/>
                <w:sz w:val="18"/>
              </w:rPr>
              <w:t>文档名称</w:t>
            </w:r>
          </w:p>
        </w:tc>
        <w:tc>
          <w:tcPr>
            <w:tcW w:type="dxa" w:w="6803"/>
            <w:vAlign w:val="center"/>
          </w:tcPr>
          <w:p>
            <w:pPr>
              <w:spacing w:after="20" w:before="20"/>
            </w:pPr>
            <w:r>
              <w:rPr>
                <w:rFonts w:ascii="等线" w:hAnsi="等线"/>
                <w:sz w:val="18"/>
              </w:rPr>
              <w:t>测试日志</w:t>
            </w:r>
          </w:p>
        </w:tc>
      </w:tr>
      <w:tr>
        <w:trPr>
          <w:cantSplit/>
        </w:trPr>
        <w:tc>
          <w:tcPr>
            <w:tcW w:type="dxa" w:w="1814"/>
            <w:shd w:fill="F3F5F7"/>
            <w:vAlign w:val="center"/>
          </w:tcPr>
          <w:p>
            <w:pPr>
              <w:spacing w:after="20" w:before="20"/>
            </w:pPr>
            <w:r>
              <w:rPr>
                <w:rFonts w:ascii="等线" w:hAnsi="等线"/>
                <w:sz w:val="18"/>
              </w:rPr>
              <w:t>项目名称</w:t>
            </w:r>
          </w:p>
        </w:tc>
        <w:tc>
          <w:tcPr>
            <w:tcW w:type="dxa" w:w="6803"/>
            <w:shd w:fill="F3F5F7"/>
            <w:vAlign w:val="center"/>
          </w:tcPr>
          <w:p>
            <w:pPr>
              <w:spacing w:after="20" w:before="20"/>
            </w:pPr>
            <w:r>
              <w:rPr>
                <w:rFonts w:ascii="等线" w:hAnsi="等线"/>
                <w:sz w:val="18"/>
              </w:rPr>
              <w:t>智能 BI 数据洞察与报告生成平台</w:t>
            </w:r>
          </w:p>
        </w:tc>
      </w:tr>
      <w:tr>
        <w:trPr>
          <w:cantSplit/>
        </w:trPr>
        <w:tc>
          <w:tcPr>
            <w:tcW w:type="dxa" w:w="1814"/>
            <w:vAlign w:val="center"/>
          </w:tcPr>
          <w:p>
            <w:pPr>
              <w:spacing w:after="20" w:before="20"/>
            </w:pPr>
            <w:r>
              <w:rPr>
                <w:rFonts w:ascii="等线" w:hAnsi="等线"/>
                <w:sz w:val="18"/>
              </w:rPr>
              <w:t>项目成员</w:t>
            </w:r>
          </w:p>
        </w:tc>
        <w:tc>
          <w:tcPr>
            <w:tcW w:type="dxa" w:w="6803"/>
            <w:vAlign w:val="center"/>
          </w:tcPr>
          <w:p>
            <w:pPr>
              <w:spacing w:after="20" w:before="20"/>
            </w:pPr>
            <w:r>
              <w:rPr>
                <w:rFonts w:ascii="等线" w:hAnsi="等线"/>
                <w:sz w:val="18"/>
              </w:rPr>
              <w:t>王正、胡辰朋、杜宇涵</w:t>
            </w:r>
          </w:p>
        </w:tc>
      </w:tr>
      <w:tr>
        <w:trPr>
          <w:cantSplit/>
        </w:trPr>
        <w:tc>
          <w:tcPr>
            <w:tcW w:type="dxa" w:w="1814"/>
            <w:shd w:fill="F3F5F7"/>
            <w:vAlign w:val="center"/>
          </w:tcPr>
          <w:p>
            <w:pPr>
              <w:spacing w:after="20" w:before="20"/>
            </w:pPr>
            <w:r>
              <w:rPr>
                <w:rFonts w:ascii="等线" w:hAnsi="等线"/>
                <w:sz w:val="18"/>
              </w:rPr>
              <w:t>版本与状态</w:t>
            </w:r>
          </w:p>
        </w:tc>
        <w:tc>
          <w:tcPr>
            <w:tcW w:type="dxa" w:w="6803"/>
            <w:shd w:fill="F3F5F7"/>
            <w:vAlign w:val="center"/>
          </w:tcPr>
          <w:p>
            <w:pPr>
              <w:spacing w:after="20" w:before="20"/>
            </w:pPr>
            <w:r>
              <w:rPr>
                <w:rFonts w:ascii="等线" w:hAnsi="等线"/>
                <w:sz w:val="18"/>
              </w:rPr>
              <w:t>V1.0  最终版</w:t>
            </w:r>
          </w:p>
        </w:tc>
      </w:tr>
      <w:tr>
        <w:trPr>
          <w:cantSplit/>
        </w:trPr>
        <w:tc>
          <w:tcPr>
            <w:tcW w:type="dxa" w:w="1814"/>
            <w:vAlign w:val="center"/>
          </w:tcPr>
          <w:p>
            <w:pPr>
              <w:spacing w:after="20" w:before="20"/>
            </w:pPr>
            <w:r>
              <w:rPr>
                <w:rFonts w:ascii="等线" w:hAnsi="等线"/>
                <w:sz w:val="18"/>
              </w:rPr>
              <w:t>适用范围</w:t>
            </w:r>
          </w:p>
        </w:tc>
        <w:tc>
          <w:tcPr>
            <w:tcW w:type="dxa" w:w="6803"/>
            <w:vAlign w:val="center"/>
          </w:tcPr>
          <w:p>
            <w:pPr>
              <w:spacing w:after="20" w:before="20"/>
            </w:pPr>
            <w:r>
              <w:rPr>
                <w:rFonts w:ascii="等线" w:hAnsi="等线"/>
                <w:sz w:val="18"/>
              </w:rPr>
              <w:t>课程实习项目验收、系统演示、答辩与后续维护</w:t>
            </w:r>
          </w:p>
        </w:tc>
      </w:tr>
    </w:tbl>
    <w:p>
      <w:pPr>
        <w:spacing w:after="0"/>
      </w:pPr>
    </w:p>
    <w:tbl>
      <w:tblPr>
        <w:tblW w:type="auto" w:w="0"/>
        <w:jc w:val="center"/>
        <w:tblLook w:firstColumn="1" w:firstRow="1" w:lastColumn="0" w:lastRow="0" w:noHBand="0" w:noVBand="1" w:val="04A0"/>
      </w:tblPr>
      <w:tblGrid>
        <w:gridCol w:w="9298"/>
      </w:tblGrid>
      <w:tr>
        <w:tc>
          <w:tcPr>
            <w:tcW w:type="dxa" w:w="9298"/>
            <w:shd w:fill="EAF3FA"/>
          </w:tcPr>
          <w:p>
            <w:pPr>
              <w:spacing w:after="60"/>
            </w:pPr>
            <w:r>
              <w:rPr>
                <w:rFonts w:ascii="等线" w:hAnsi="等线"/>
                <w:color w:val="24445E"/>
                <w:sz w:val="19"/>
              </w:rPr>
              <w:t>本材料依据当前仓库、运行系统、测试记录和官方文档框架整理。第 12 号成员分工表按要求不编写，本套材料不对三位成员作个人任务拆分。</w:t>
            </w:r>
          </w:p>
        </w:tc>
      </w:tr>
    </w:tbl>
    <w:p>
      <w:pPr>
        <w:spacing w:after="0"/>
      </w:pPr>
    </w:p>
    <w:p>
      <w:pPr>
        <w:pStyle w:val="Heading1"/>
      </w:pPr>
      <w:r>
        <w:t>1 测试执行摘要</w:t>
      </w:r>
    </w:p>
    <w:p>
      <w:r>
        <w:t>测试以独立 Compose 环境执行，覆盖后端、前端、生产构建和 Chrome 端到端。真实 DeepSeek 验证与自动化 mock 测试分离，避免外部波动影响回归。以下结果以仓库现有可核验记录和本次最终材料生成前的回归为依据。</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1134"/>
            <w:shd w:fill="1769AA"/>
            <w:vAlign w:val="center"/>
          </w:tcPr>
          <w:p>
            <w:pPr>
              <w:jc w:val="center"/>
            </w:pPr>
            <w:r>
              <w:rPr>
                <w:rFonts w:ascii="等线" w:hAnsi="等线"/>
                <w:b/>
                <w:color w:val="FFFFFF"/>
                <w:sz w:val="18"/>
              </w:rPr>
              <w:t>批次</w:t>
            </w:r>
          </w:p>
        </w:tc>
        <w:tc>
          <w:tcPr>
            <w:tcW w:type="dxa" w:w="1814"/>
            <w:shd w:fill="1769AA"/>
            <w:vAlign w:val="center"/>
          </w:tcPr>
          <w:p>
            <w:pPr>
              <w:jc w:val="center"/>
            </w:pPr>
            <w:r>
              <w:rPr>
                <w:rFonts w:ascii="等线" w:hAnsi="等线"/>
                <w:b/>
                <w:color w:val="FFFFFF"/>
                <w:sz w:val="18"/>
              </w:rPr>
              <w:t>日期</w:t>
            </w:r>
          </w:p>
        </w:tc>
        <w:tc>
          <w:tcPr>
            <w:tcW w:type="dxa" w:w="3458"/>
            <w:shd w:fill="1769AA"/>
            <w:vAlign w:val="center"/>
          </w:tcPr>
          <w:p>
            <w:pPr>
              <w:jc w:val="center"/>
            </w:pPr>
            <w:r>
              <w:rPr>
                <w:rFonts w:ascii="等线" w:hAnsi="等线"/>
                <w:b/>
                <w:color w:val="FFFFFF"/>
                <w:sz w:val="18"/>
              </w:rPr>
              <w:t>范围</w:t>
            </w:r>
          </w:p>
        </w:tc>
        <w:tc>
          <w:tcPr>
            <w:tcW w:type="dxa" w:w="2211"/>
            <w:shd w:fill="1769AA"/>
            <w:vAlign w:val="center"/>
          </w:tcPr>
          <w:p>
            <w:pPr>
              <w:jc w:val="center"/>
            </w:pPr>
            <w:r>
              <w:rPr>
                <w:rFonts w:ascii="等线" w:hAnsi="等线"/>
                <w:b/>
                <w:color w:val="FFFFFF"/>
                <w:sz w:val="18"/>
              </w:rPr>
              <w:t>结果</w:t>
            </w:r>
          </w:p>
        </w:tc>
      </w:tr>
      <w:tr>
        <w:trPr>
          <w:cantSplit/>
        </w:trPr>
        <w:tc>
          <w:tcPr>
            <w:tcW w:type="dxa" w:w="1134"/>
            <w:vAlign w:val="center"/>
          </w:tcPr>
          <w:p>
            <w:pPr>
              <w:spacing w:after="20" w:before="20"/>
            </w:pPr>
            <w:r>
              <w:rPr>
                <w:rFonts w:ascii="等线" w:hAnsi="等线"/>
                <w:sz w:val="18"/>
              </w:rPr>
              <w:t>R1</w:t>
            </w:r>
          </w:p>
        </w:tc>
        <w:tc>
          <w:tcPr>
            <w:tcW w:type="dxa" w:w="1814"/>
            <w:vAlign w:val="center"/>
          </w:tcPr>
          <w:p>
            <w:pPr>
              <w:spacing w:after="20" w:before="20"/>
            </w:pPr>
            <w:r>
              <w:rPr>
                <w:rFonts w:ascii="等线" w:hAnsi="等线"/>
                <w:sz w:val="18"/>
              </w:rPr>
              <w:t>2026-08-01</w:t>
            </w:r>
          </w:p>
        </w:tc>
        <w:tc>
          <w:tcPr>
            <w:tcW w:type="dxa" w:w="3458"/>
            <w:vAlign w:val="center"/>
          </w:tcPr>
          <w:p>
            <w:pPr>
              <w:spacing w:after="20" w:before="20"/>
            </w:pPr>
            <w:r>
              <w:rPr>
                <w:rFonts w:ascii="等线" w:hAnsi="等线"/>
                <w:sz w:val="18"/>
              </w:rPr>
              <w:t>数据预检、指标口径、行动闭环</w:t>
            </w:r>
          </w:p>
        </w:tc>
        <w:tc>
          <w:tcPr>
            <w:tcW w:type="dxa" w:w="2211"/>
            <w:vAlign w:val="center"/>
          </w:tcPr>
          <w:p>
            <w:pPr>
              <w:spacing w:after="20" w:before="20"/>
            </w:pPr>
            <w:r>
              <w:rPr>
                <w:rFonts w:ascii="等线" w:hAnsi="等线"/>
                <w:sz w:val="18"/>
              </w:rPr>
              <w:t>后端 147；前端 17；E2E 8，通过</w:t>
            </w:r>
          </w:p>
        </w:tc>
      </w:tr>
      <w:tr>
        <w:trPr>
          <w:cantSplit/>
        </w:trPr>
        <w:tc>
          <w:tcPr>
            <w:tcW w:type="dxa" w:w="1134"/>
            <w:shd w:fill="F3F5F7"/>
            <w:vAlign w:val="center"/>
          </w:tcPr>
          <w:p>
            <w:pPr>
              <w:spacing w:after="20" w:before="20"/>
            </w:pPr>
            <w:r>
              <w:rPr>
                <w:rFonts w:ascii="等线" w:hAnsi="等线"/>
                <w:sz w:val="18"/>
              </w:rPr>
              <w:t>R2</w:t>
            </w:r>
          </w:p>
        </w:tc>
        <w:tc>
          <w:tcPr>
            <w:tcW w:type="dxa" w:w="1814"/>
            <w:shd w:fill="F3F5F7"/>
            <w:vAlign w:val="center"/>
          </w:tcPr>
          <w:p>
            <w:pPr>
              <w:spacing w:after="20" w:before="20"/>
            </w:pPr>
            <w:r>
              <w:rPr>
                <w:rFonts w:ascii="等线" w:hAnsi="等线"/>
                <w:sz w:val="18"/>
              </w:rPr>
              <w:t>2026-09-07</w:t>
            </w:r>
          </w:p>
        </w:tc>
        <w:tc>
          <w:tcPr>
            <w:tcW w:type="dxa" w:w="3458"/>
            <w:shd w:fill="F3F5F7"/>
            <w:vAlign w:val="center"/>
          </w:tcPr>
          <w:p>
            <w:pPr>
              <w:spacing w:after="20" w:before="20"/>
            </w:pPr>
            <w:r>
              <w:rPr>
                <w:rFonts w:ascii="等线" w:hAnsi="等线"/>
                <w:sz w:val="18"/>
              </w:rPr>
              <w:t>技术约束、DeepSeek、安全、报告</w:t>
            </w:r>
          </w:p>
        </w:tc>
        <w:tc>
          <w:tcPr>
            <w:tcW w:type="dxa" w:w="2211"/>
            <w:shd w:fill="F3F5F7"/>
            <w:vAlign w:val="center"/>
          </w:tcPr>
          <w:p>
            <w:pPr>
              <w:spacing w:after="20" w:before="20"/>
            </w:pPr>
            <w:r>
              <w:rPr>
                <w:rFonts w:ascii="等线" w:hAnsi="等线"/>
                <w:sz w:val="18"/>
              </w:rPr>
              <w:t>后端 151；前端 17；E2E 8，通过</w:t>
            </w:r>
          </w:p>
        </w:tc>
      </w:tr>
      <w:tr>
        <w:trPr>
          <w:cantSplit/>
        </w:trPr>
        <w:tc>
          <w:tcPr>
            <w:tcW w:type="dxa" w:w="1134"/>
            <w:vAlign w:val="center"/>
          </w:tcPr>
          <w:p>
            <w:pPr>
              <w:spacing w:after="20" w:before="20"/>
            </w:pPr>
            <w:r>
              <w:rPr>
                <w:rFonts w:ascii="等线" w:hAnsi="等线"/>
                <w:sz w:val="18"/>
              </w:rPr>
              <w:t>R3</w:t>
            </w:r>
          </w:p>
        </w:tc>
        <w:tc>
          <w:tcPr>
            <w:tcW w:type="dxa" w:w="1814"/>
            <w:vAlign w:val="center"/>
          </w:tcPr>
          <w:p>
            <w:pPr>
              <w:spacing w:after="20" w:before="20"/>
            </w:pPr>
            <w:r>
              <w:rPr>
                <w:rFonts w:ascii="等线" w:hAnsi="等线"/>
                <w:sz w:val="18"/>
              </w:rPr>
              <w:t>2026-09-09</w:t>
            </w:r>
          </w:p>
        </w:tc>
        <w:tc>
          <w:tcPr>
            <w:tcW w:type="dxa" w:w="3458"/>
            <w:vAlign w:val="center"/>
          </w:tcPr>
          <w:p>
            <w:pPr>
              <w:spacing w:after="20" w:before="20"/>
            </w:pPr>
            <w:r>
              <w:rPr>
                <w:rFonts w:ascii="等线" w:hAnsi="等线"/>
                <w:sz w:val="18"/>
              </w:rPr>
              <w:t>模板 AI 优先、重启不重复播种、最终回归</w:t>
            </w:r>
          </w:p>
        </w:tc>
        <w:tc>
          <w:tcPr>
            <w:tcW w:type="dxa" w:w="2211"/>
            <w:vAlign w:val="center"/>
          </w:tcPr>
          <w:p>
            <w:pPr>
              <w:spacing w:after="20" w:before="20"/>
            </w:pPr>
            <w:r>
              <w:rPr>
                <w:rFonts w:ascii="等线" w:hAnsi="等线"/>
                <w:sz w:val="18"/>
              </w:rPr>
              <w:t>后端 152；前端 17；构建通过；E2E 8，通过</w:t>
            </w:r>
          </w:p>
        </w:tc>
      </w:tr>
    </w:tbl>
    <w:p>
      <w:pPr>
        <w:spacing w:after="0"/>
      </w:pPr>
    </w:p>
    <w:p>
      <w:pPr>
        <w:pStyle w:val="Heading1"/>
      </w:pPr>
      <w:r>
        <w:t>2 用例执行记录</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1134"/>
            <w:shd w:fill="1769AA"/>
            <w:vAlign w:val="center"/>
          </w:tcPr>
          <w:p>
            <w:pPr>
              <w:jc w:val="center"/>
            </w:pPr>
            <w:r>
              <w:rPr>
                <w:rFonts w:ascii="等线" w:hAnsi="等线"/>
                <w:b/>
                <w:color w:val="FFFFFF"/>
                <w:sz w:val="16"/>
              </w:rPr>
              <w:t>用例</w:t>
            </w:r>
          </w:p>
        </w:tc>
        <w:tc>
          <w:tcPr>
            <w:tcW w:type="dxa" w:w="1757"/>
            <w:shd w:fill="1769AA"/>
            <w:vAlign w:val="center"/>
          </w:tcPr>
          <w:p>
            <w:pPr>
              <w:jc w:val="center"/>
            </w:pPr>
            <w:r>
              <w:rPr>
                <w:rFonts w:ascii="等线" w:hAnsi="等线"/>
                <w:b/>
                <w:color w:val="FFFFFF"/>
                <w:sz w:val="16"/>
              </w:rPr>
              <w:t>模块</w:t>
            </w:r>
          </w:p>
        </w:tc>
        <w:tc>
          <w:tcPr>
            <w:tcW w:type="dxa" w:w="1134"/>
            <w:shd w:fill="1769AA"/>
            <w:vAlign w:val="center"/>
          </w:tcPr>
          <w:p>
            <w:pPr>
              <w:jc w:val="center"/>
            </w:pPr>
            <w:r>
              <w:rPr>
                <w:rFonts w:ascii="等线" w:hAnsi="等线"/>
                <w:b/>
                <w:color w:val="FFFFFF"/>
                <w:sz w:val="16"/>
              </w:rPr>
              <w:t>状态</w:t>
            </w:r>
          </w:p>
        </w:tc>
        <w:tc>
          <w:tcPr>
            <w:tcW w:type="dxa" w:w="2835"/>
            <w:shd w:fill="1769AA"/>
            <w:vAlign w:val="center"/>
          </w:tcPr>
          <w:p>
            <w:pPr>
              <w:jc w:val="center"/>
            </w:pPr>
            <w:r>
              <w:rPr>
                <w:rFonts w:ascii="等线" w:hAnsi="等线"/>
                <w:b/>
                <w:color w:val="FFFFFF"/>
                <w:sz w:val="16"/>
              </w:rPr>
              <w:t>证据</w:t>
            </w:r>
          </w:p>
        </w:tc>
        <w:tc>
          <w:tcPr>
            <w:tcW w:type="dxa" w:w="1757"/>
            <w:shd w:fill="1769AA"/>
            <w:vAlign w:val="center"/>
          </w:tcPr>
          <w:p>
            <w:pPr>
              <w:jc w:val="center"/>
            </w:pPr>
            <w:r>
              <w:rPr>
                <w:rFonts w:ascii="等线" w:hAnsi="等线"/>
                <w:b/>
                <w:color w:val="FFFFFF"/>
                <w:sz w:val="16"/>
              </w:rPr>
              <w:t>备注</w:t>
            </w:r>
          </w:p>
        </w:tc>
      </w:tr>
      <w:tr>
        <w:trPr>
          <w:cantSplit/>
        </w:trPr>
        <w:tc>
          <w:tcPr>
            <w:tcW w:type="dxa" w:w="1134"/>
            <w:vAlign w:val="center"/>
          </w:tcPr>
          <w:p>
            <w:pPr>
              <w:spacing w:after="20" w:before="20"/>
            </w:pPr>
            <w:r>
              <w:rPr>
                <w:rFonts w:ascii="等线" w:hAnsi="等线"/>
                <w:sz w:val="16"/>
              </w:rPr>
              <w:t>TC-01</w:t>
            </w:r>
          </w:p>
        </w:tc>
        <w:tc>
          <w:tcPr>
            <w:tcW w:type="dxa" w:w="1757"/>
            <w:vAlign w:val="center"/>
          </w:tcPr>
          <w:p>
            <w:pPr>
              <w:spacing w:after="20" w:before="20"/>
            </w:pPr>
            <w:r>
              <w:rPr>
                <w:rFonts w:ascii="等线" w:hAnsi="等线"/>
                <w:sz w:val="16"/>
              </w:rPr>
              <w:t>一键启动</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启动脚本与健康检查</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TC-02</w:t>
            </w:r>
          </w:p>
        </w:tc>
        <w:tc>
          <w:tcPr>
            <w:tcW w:type="dxa" w:w="1757"/>
            <w:shd w:fill="F3F5F7"/>
            <w:vAlign w:val="center"/>
          </w:tcPr>
          <w:p>
            <w:pPr>
              <w:spacing w:after="20" w:before="20"/>
            </w:pPr>
            <w:r>
              <w:rPr>
                <w:rFonts w:ascii="等线" w:hAnsi="等线"/>
                <w:sz w:val="16"/>
              </w:rPr>
              <w:t>启动容错</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TC-03</w:t>
            </w:r>
          </w:p>
        </w:tc>
        <w:tc>
          <w:tcPr>
            <w:tcW w:type="dxa" w:w="1757"/>
            <w:vAlign w:val="center"/>
          </w:tcPr>
          <w:p>
            <w:pPr>
              <w:spacing w:after="20" w:before="20"/>
            </w:pPr>
            <w:r>
              <w:rPr>
                <w:rFonts w:ascii="等线" w:hAnsi="等线"/>
                <w:sz w:val="16"/>
              </w:rPr>
              <w:t>场景切换</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TC-04</w:t>
            </w:r>
          </w:p>
        </w:tc>
        <w:tc>
          <w:tcPr>
            <w:tcW w:type="dxa" w:w="1757"/>
            <w:shd w:fill="F3F5F7"/>
            <w:vAlign w:val="center"/>
          </w:tcPr>
          <w:p>
            <w:pPr>
              <w:spacing w:after="20" w:before="20"/>
            </w:pPr>
            <w:r>
              <w:rPr>
                <w:rFonts w:ascii="等线" w:hAnsi="等线"/>
                <w:sz w:val="16"/>
              </w:rPr>
              <w:t>CSV 预检</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TC-05</w:t>
            </w:r>
          </w:p>
        </w:tc>
        <w:tc>
          <w:tcPr>
            <w:tcW w:type="dxa" w:w="1757"/>
            <w:vAlign w:val="center"/>
          </w:tcPr>
          <w:p>
            <w:pPr>
              <w:spacing w:after="20" w:before="20"/>
            </w:pPr>
            <w:r>
              <w:rPr>
                <w:rFonts w:ascii="等线" w:hAnsi="等线"/>
                <w:sz w:val="16"/>
              </w:rPr>
              <w:t>非法 CSV</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TC-06</w:t>
            </w:r>
          </w:p>
        </w:tc>
        <w:tc>
          <w:tcPr>
            <w:tcW w:type="dxa" w:w="1757"/>
            <w:shd w:fill="F3F5F7"/>
            <w:vAlign w:val="center"/>
          </w:tcPr>
          <w:p>
            <w:pPr>
              <w:spacing w:after="20" w:before="20"/>
            </w:pPr>
            <w:r>
              <w:rPr>
                <w:rFonts w:ascii="等线" w:hAnsi="等线"/>
                <w:sz w:val="16"/>
              </w:rPr>
              <w:t>AI 配置</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DeepSeek 真实连接与脱敏配置</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TC-07</w:t>
            </w:r>
          </w:p>
        </w:tc>
        <w:tc>
          <w:tcPr>
            <w:tcW w:type="dxa" w:w="1757"/>
            <w:vAlign w:val="center"/>
          </w:tcPr>
          <w:p>
            <w:pPr>
              <w:spacing w:after="20" w:before="20"/>
            </w:pPr>
            <w:r>
              <w:rPr>
                <w:rFonts w:ascii="等线" w:hAnsi="等线"/>
                <w:sz w:val="16"/>
              </w:rPr>
              <w:t>模板问题 AI 优先</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AI resolver 定向回归</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TC-08</w:t>
            </w:r>
          </w:p>
        </w:tc>
        <w:tc>
          <w:tcPr>
            <w:tcW w:type="dxa" w:w="1757"/>
            <w:shd w:fill="F3F5F7"/>
            <w:vAlign w:val="center"/>
          </w:tcPr>
          <w:p>
            <w:pPr>
              <w:spacing w:after="20" w:before="20"/>
            </w:pPr>
            <w:r>
              <w:rPr>
                <w:rFonts w:ascii="等线" w:hAnsi="等线"/>
                <w:sz w:val="16"/>
              </w:rPr>
              <w:t>AI 回退</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TC-09</w:t>
            </w:r>
          </w:p>
        </w:tc>
        <w:tc>
          <w:tcPr>
            <w:tcW w:type="dxa" w:w="1757"/>
            <w:vAlign w:val="center"/>
          </w:tcPr>
          <w:p>
            <w:pPr>
              <w:spacing w:after="20" w:before="20"/>
            </w:pPr>
            <w:r>
              <w:rPr>
                <w:rFonts w:ascii="等线" w:hAnsi="等线"/>
                <w:sz w:val="16"/>
              </w:rPr>
              <w:t>自由问题</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TC-10</w:t>
            </w:r>
          </w:p>
        </w:tc>
        <w:tc>
          <w:tcPr>
            <w:tcW w:type="dxa" w:w="1757"/>
            <w:shd w:fill="F3F5F7"/>
            <w:vAlign w:val="center"/>
          </w:tcPr>
          <w:p>
            <w:pPr>
              <w:spacing w:after="20" w:before="20"/>
            </w:pPr>
            <w:r>
              <w:rPr>
                <w:rFonts w:ascii="等线" w:hAnsi="等线"/>
                <w:sz w:val="16"/>
              </w:rPr>
              <w:t>SQL 安全</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TC-11</w:t>
            </w:r>
          </w:p>
        </w:tc>
        <w:tc>
          <w:tcPr>
            <w:tcW w:type="dxa" w:w="1757"/>
            <w:vAlign w:val="center"/>
          </w:tcPr>
          <w:p>
            <w:pPr>
              <w:spacing w:after="20" w:before="20"/>
            </w:pPr>
            <w:r>
              <w:rPr>
                <w:rFonts w:ascii="等线" w:hAnsi="等线"/>
                <w:sz w:val="16"/>
              </w:rPr>
              <w:t>仪表盘联动</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TC-12</w:t>
            </w:r>
          </w:p>
        </w:tc>
        <w:tc>
          <w:tcPr>
            <w:tcW w:type="dxa" w:w="1757"/>
            <w:shd w:fill="F3F5F7"/>
            <w:vAlign w:val="center"/>
          </w:tcPr>
          <w:p>
            <w:pPr>
              <w:spacing w:after="20" w:before="20"/>
            </w:pPr>
            <w:r>
              <w:rPr>
                <w:rFonts w:ascii="等线" w:hAnsi="等线"/>
                <w:sz w:val="16"/>
              </w:rPr>
              <w:t>异常归因</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TC-13</w:t>
            </w:r>
          </w:p>
        </w:tc>
        <w:tc>
          <w:tcPr>
            <w:tcW w:type="dxa" w:w="1757"/>
            <w:vAlign w:val="center"/>
          </w:tcPr>
          <w:p>
            <w:pPr>
              <w:spacing w:after="20" w:before="20"/>
            </w:pPr>
            <w:r>
              <w:rPr>
                <w:rFonts w:ascii="等线" w:hAnsi="等线"/>
                <w:sz w:val="16"/>
              </w:rPr>
              <w:t>预测模拟</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TC-14</w:t>
            </w:r>
          </w:p>
        </w:tc>
        <w:tc>
          <w:tcPr>
            <w:tcW w:type="dxa" w:w="1757"/>
            <w:shd w:fill="F3F5F7"/>
            <w:vAlign w:val="center"/>
          </w:tcPr>
          <w:p>
            <w:pPr>
              <w:spacing w:after="20" w:before="20"/>
            </w:pPr>
            <w:r>
              <w:rPr>
                <w:rFonts w:ascii="等线" w:hAnsi="等线"/>
                <w:sz w:val="16"/>
              </w:rPr>
              <w:t>AI 报告</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报告数字安全专项测试</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TC-15</w:t>
            </w:r>
          </w:p>
        </w:tc>
        <w:tc>
          <w:tcPr>
            <w:tcW w:type="dxa" w:w="1757"/>
            <w:vAlign w:val="center"/>
          </w:tcPr>
          <w:p>
            <w:pPr>
              <w:spacing w:after="20" w:before="20"/>
            </w:pPr>
            <w:r>
              <w:rPr>
                <w:rFonts w:ascii="等线" w:hAnsi="等线"/>
                <w:sz w:val="16"/>
              </w:rPr>
              <w:t>本地报告</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TC-16</w:t>
            </w:r>
          </w:p>
        </w:tc>
        <w:tc>
          <w:tcPr>
            <w:tcW w:type="dxa" w:w="1757"/>
            <w:shd w:fill="F3F5F7"/>
            <w:vAlign w:val="center"/>
          </w:tcPr>
          <w:p>
            <w:pPr>
              <w:spacing w:after="20" w:before="20"/>
            </w:pPr>
            <w:r>
              <w:rPr>
                <w:rFonts w:ascii="等线" w:hAnsi="等线"/>
                <w:sz w:val="16"/>
              </w:rPr>
              <w:t>行动闭环</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TC-17</w:t>
            </w:r>
          </w:p>
        </w:tc>
        <w:tc>
          <w:tcPr>
            <w:tcW w:type="dxa" w:w="1757"/>
            <w:vAlign w:val="center"/>
          </w:tcPr>
          <w:p>
            <w:pPr>
              <w:spacing w:after="20" w:before="20"/>
            </w:pPr>
            <w:r>
              <w:rPr>
                <w:rFonts w:ascii="等线" w:hAnsi="等线"/>
                <w:sz w:val="16"/>
              </w:rPr>
              <w:t>查询历史</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自动化或实机验收</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TC-18</w:t>
            </w:r>
          </w:p>
        </w:tc>
        <w:tc>
          <w:tcPr>
            <w:tcW w:type="dxa" w:w="1757"/>
            <w:shd w:fill="F3F5F7"/>
            <w:vAlign w:val="center"/>
          </w:tcPr>
          <w:p>
            <w:pPr>
              <w:spacing w:after="20" w:before="20"/>
            </w:pPr>
            <w:r>
              <w:rPr>
                <w:rFonts w:ascii="等线" w:hAnsi="等线"/>
                <w:sz w:val="16"/>
              </w:rPr>
              <w:t>导出</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自动化或实机验收</w:t>
            </w:r>
          </w:p>
        </w:tc>
        <w:tc>
          <w:tcPr>
            <w:tcW w:type="dxa" w:w="1757"/>
            <w:shd w:fill="F3F5F7"/>
            <w:vAlign w:val="center"/>
          </w:tcPr>
          <w:p>
            <w:pPr>
              <w:spacing w:after="20" w:before="20"/>
            </w:pPr>
            <w:r>
              <w:rPr>
                <w:rFonts w:ascii="等线" w:hAnsi="等线"/>
                <w:sz w:val="16"/>
              </w:rPr>
              <w:t>无阻塞缺陷</w:t>
            </w:r>
          </w:p>
        </w:tc>
      </w:tr>
      <w:tr>
        <w:trPr>
          <w:cantSplit/>
        </w:trPr>
        <w:tc>
          <w:tcPr>
            <w:tcW w:type="dxa" w:w="1134"/>
            <w:vAlign w:val="center"/>
          </w:tcPr>
          <w:p>
            <w:pPr>
              <w:spacing w:after="20" w:before="20"/>
            </w:pPr>
            <w:r>
              <w:rPr>
                <w:rFonts w:ascii="等线" w:hAnsi="等线"/>
                <w:sz w:val="16"/>
              </w:rPr>
              <w:t>TC-19</w:t>
            </w:r>
          </w:p>
        </w:tc>
        <w:tc>
          <w:tcPr>
            <w:tcW w:type="dxa" w:w="1757"/>
            <w:vAlign w:val="center"/>
          </w:tcPr>
          <w:p>
            <w:pPr>
              <w:spacing w:after="20" w:before="20"/>
            </w:pPr>
            <w:r>
              <w:rPr>
                <w:rFonts w:ascii="等线" w:hAnsi="等线"/>
                <w:sz w:val="16"/>
              </w:rPr>
              <w:t>响应式</w:t>
            </w:r>
          </w:p>
        </w:tc>
        <w:tc>
          <w:tcPr>
            <w:tcW w:type="dxa" w:w="1134"/>
            <w:vAlign w:val="center"/>
          </w:tcPr>
          <w:p>
            <w:pPr>
              <w:spacing w:after="20" w:before="20"/>
            </w:pPr>
            <w:r>
              <w:rPr>
                <w:rFonts w:ascii="等线" w:hAnsi="等线"/>
                <w:sz w:val="16"/>
              </w:rPr>
              <w:t>通过</w:t>
            </w:r>
          </w:p>
        </w:tc>
        <w:tc>
          <w:tcPr>
            <w:tcW w:type="dxa" w:w="2835"/>
            <w:vAlign w:val="center"/>
          </w:tcPr>
          <w:p>
            <w:pPr>
              <w:spacing w:after="20" w:before="20"/>
            </w:pPr>
            <w:r>
              <w:rPr>
                <w:rFonts w:ascii="等线" w:hAnsi="等线"/>
                <w:sz w:val="16"/>
              </w:rPr>
              <w:t>Chrome 390x844 截图</w:t>
            </w:r>
          </w:p>
        </w:tc>
        <w:tc>
          <w:tcPr>
            <w:tcW w:type="dxa" w:w="1757"/>
            <w:vAlign w:val="center"/>
          </w:tcPr>
          <w:p>
            <w:pPr>
              <w:spacing w:after="20" w:before="20"/>
            </w:pPr>
            <w:r>
              <w:rPr>
                <w:rFonts w:ascii="等线" w:hAnsi="等线"/>
                <w:sz w:val="16"/>
              </w:rPr>
              <w:t>无阻塞缺陷</w:t>
            </w:r>
          </w:p>
        </w:tc>
      </w:tr>
      <w:tr>
        <w:trPr>
          <w:cantSplit/>
        </w:trPr>
        <w:tc>
          <w:tcPr>
            <w:tcW w:type="dxa" w:w="1134"/>
            <w:shd w:fill="F3F5F7"/>
            <w:vAlign w:val="center"/>
          </w:tcPr>
          <w:p>
            <w:pPr>
              <w:spacing w:after="20" w:before="20"/>
            </w:pPr>
            <w:r>
              <w:rPr>
                <w:rFonts w:ascii="等线" w:hAnsi="等线"/>
                <w:sz w:val="16"/>
              </w:rPr>
              <w:t>TC-20</w:t>
            </w:r>
          </w:p>
        </w:tc>
        <w:tc>
          <w:tcPr>
            <w:tcW w:type="dxa" w:w="1757"/>
            <w:shd w:fill="F3F5F7"/>
            <w:vAlign w:val="center"/>
          </w:tcPr>
          <w:p>
            <w:pPr>
              <w:spacing w:after="20" w:before="20"/>
            </w:pPr>
            <w:r>
              <w:rPr>
                <w:rFonts w:ascii="等线" w:hAnsi="等线"/>
                <w:sz w:val="16"/>
              </w:rPr>
              <w:t>重启持久化</w:t>
            </w:r>
          </w:p>
        </w:tc>
        <w:tc>
          <w:tcPr>
            <w:tcW w:type="dxa" w:w="1134"/>
            <w:shd w:fill="F3F5F7"/>
            <w:vAlign w:val="center"/>
          </w:tcPr>
          <w:p>
            <w:pPr>
              <w:spacing w:after="20" w:before="20"/>
            </w:pPr>
            <w:r>
              <w:rPr>
                <w:rFonts w:ascii="等线" w:hAnsi="等线"/>
                <w:sz w:val="16"/>
              </w:rPr>
              <w:t>通过</w:t>
            </w:r>
          </w:p>
        </w:tc>
        <w:tc>
          <w:tcPr>
            <w:tcW w:type="dxa" w:w="2835"/>
            <w:shd w:fill="F3F5F7"/>
            <w:vAlign w:val="center"/>
          </w:tcPr>
          <w:p>
            <w:pPr>
              <w:spacing w:after="20" w:before="20"/>
            </w:pPr>
            <w:r>
              <w:rPr>
                <w:rFonts w:ascii="等线" w:hAnsi="等线"/>
                <w:sz w:val="16"/>
              </w:rPr>
              <w:t>场景启动防重复播种测试</w:t>
            </w:r>
          </w:p>
        </w:tc>
        <w:tc>
          <w:tcPr>
            <w:tcW w:type="dxa" w:w="1757"/>
            <w:shd w:fill="F3F5F7"/>
            <w:vAlign w:val="center"/>
          </w:tcPr>
          <w:p>
            <w:pPr>
              <w:spacing w:after="20" w:before="20"/>
            </w:pPr>
            <w:r>
              <w:rPr>
                <w:rFonts w:ascii="等线" w:hAnsi="等线"/>
                <w:sz w:val="16"/>
              </w:rPr>
              <w:t>无阻塞缺陷</w:t>
            </w:r>
          </w:p>
        </w:tc>
      </w:tr>
    </w:tbl>
    <w:p>
      <w:pPr>
        <w:spacing w:after="0"/>
      </w:pPr>
    </w:p>
    <w:p>
      <w:pPr>
        <w:pStyle w:val="Heading1"/>
      </w:pPr>
      <w:r>
        <w:t>3 缺陷与修复回归</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1020"/>
            <w:shd w:fill="1769AA"/>
            <w:vAlign w:val="center"/>
          </w:tcPr>
          <w:p>
            <w:pPr>
              <w:jc w:val="center"/>
            </w:pPr>
            <w:r>
              <w:rPr>
                <w:rFonts w:ascii="等线" w:hAnsi="等线"/>
                <w:b/>
                <w:color w:val="FFFFFF"/>
                <w:sz w:val="15"/>
              </w:rPr>
              <w:t>编号</w:t>
            </w:r>
          </w:p>
        </w:tc>
        <w:tc>
          <w:tcPr>
            <w:tcW w:type="dxa" w:w="2041"/>
            <w:shd w:fill="1769AA"/>
            <w:vAlign w:val="center"/>
          </w:tcPr>
          <w:p>
            <w:pPr>
              <w:jc w:val="center"/>
            </w:pPr>
            <w:r>
              <w:rPr>
                <w:rFonts w:ascii="等线" w:hAnsi="等线"/>
                <w:b/>
                <w:color w:val="FFFFFF"/>
                <w:sz w:val="15"/>
              </w:rPr>
              <w:t>现象</w:t>
            </w:r>
          </w:p>
        </w:tc>
        <w:tc>
          <w:tcPr>
            <w:tcW w:type="dxa" w:w="1984"/>
            <w:shd w:fill="1769AA"/>
            <w:vAlign w:val="center"/>
          </w:tcPr>
          <w:p>
            <w:pPr>
              <w:jc w:val="center"/>
            </w:pPr>
            <w:r>
              <w:rPr>
                <w:rFonts w:ascii="等线" w:hAnsi="等线"/>
                <w:b/>
                <w:color w:val="FFFFFF"/>
                <w:sz w:val="15"/>
              </w:rPr>
              <w:t>原因</w:t>
            </w:r>
          </w:p>
        </w:tc>
        <w:tc>
          <w:tcPr>
            <w:tcW w:type="dxa" w:w="2608"/>
            <w:shd w:fill="1769AA"/>
            <w:vAlign w:val="center"/>
          </w:tcPr>
          <w:p>
            <w:pPr>
              <w:jc w:val="center"/>
            </w:pPr>
            <w:r>
              <w:rPr>
                <w:rFonts w:ascii="等线" w:hAnsi="等线"/>
                <w:b/>
                <w:color w:val="FFFFFF"/>
                <w:sz w:val="15"/>
              </w:rPr>
              <w:t>处理</w:t>
            </w:r>
          </w:p>
        </w:tc>
        <w:tc>
          <w:tcPr>
            <w:tcW w:type="dxa" w:w="1191"/>
            <w:shd w:fill="1769AA"/>
            <w:vAlign w:val="center"/>
          </w:tcPr>
          <w:p>
            <w:pPr>
              <w:jc w:val="center"/>
            </w:pPr>
            <w:r>
              <w:rPr>
                <w:rFonts w:ascii="等线" w:hAnsi="等线"/>
                <w:b/>
                <w:color w:val="FFFFFF"/>
                <w:sz w:val="15"/>
              </w:rPr>
              <w:t>回归</w:t>
            </w:r>
          </w:p>
        </w:tc>
      </w:tr>
      <w:tr>
        <w:trPr>
          <w:cantSplit/>
        </w:trPr>
        <w:tc>
          <w:tcPr>
            <w:tcW w:type="dxa" w:w="1020"/>
            <w:vAlign w:val="center"/>
          </w:tcPr>
          <w:p>
            <w:pPr>
              <w:spacing w:after="20" w:before="20"/>
            </w:pPr>
            <w:r>
              <w:rPr>
                <w:rFonts w:ascii="等线" w:hAnsi="等线"/>
                <w:sz w:val="15"/>
              </w:rPr>
              <w:t>BUG-01</w:t>
            </w:r>
          </w:p>
        </w:tc>
        <w:tc>
          <w:tcPr>
            <w:tcW w:type="dxa" w:w="2041"/>
            <w:vAlign w:val="center"/>
          </w:tcPr>
          <w:p>
            <w:pPr>
              <w:spacing w:after="20" w:before="20"/>
            </w:pPr>
            <w:r>
              <w:rPr>
                <w:rFonts w:ascii="等线" w:hAnsi="等线"/>
                <w:sz w:val="15"/>
              </w:rPr>
              <w:t>一键启动在 Compose 构建失败后直接退出</w:t>
            </w:r>
          </w:p>
        </w:tc>
        <w:tc>
          <w:tcPr>
            <w:tcW w:type="dxa" w:w="1984"/>
            <w:vAlign w:val="center"/>
          </w:tcPr>
          <w:p>
            <w:pPr>
              <w:spacing w:after="20" w:before="20"/>
            </w:pPr>
            <w:r>
              <w:rPr>
                <w:rFonts w:ascii="等线" w:hAnsi="等线"/>
                <w:sz w:val="15"/>
              </w:rPr>
              <w:t>构建异常缺少恢复分支</w:t>
            </w:r>
          </w:p>
        </w:tc>
        <w:tc>
          <w:tcPr>
            <w:tcW w:type="dxa" w:w="2608"/>
            <w:vAlign w:val="center"/>
          </w:tcPr>
          <w:p>
            <w:pPr>
              <w:spacing w:after="20" w:before="20"/>
            </w:pPr>
            <w:r>
              <w:rPr>
                <w:rFonts w:ascii="等线" w:hAnsi="等线"/>
                <w:sz w:val="15"/>
              </w:rPr>
              <w:t>增加 Docker 就绪等待、重试、最近镜像恢复和双日志</w:t>
            </w:r>
          </w:p>
        </w:tc>
        <w:tc>
          <w:tcPr>
            <w:tcW w:type="dxa" w:w="1191"/>
            <w:vAlign w:val="center"/>
          </w:tcPr>
          <w:p>
            <w:pPr>
              <w:spacing w:after="20" w:before="20"/>
            </w:pPr>
            <w:r>
              <w:rPr>
                <w:rFonts w:ascii="等线" w:hAnsi="等线"/>
                <w:sz w:val="15"/>
              </w:rPr>
              <w:t>TC-01/02 通过</w:t>
            </w:r>
          </w:p>
        </w:tc>
      </w:tr>
      <w:tr>
        <w:trPr>
          <w:cantSplit/>
        </w:trPr>
        <w:tc>
          <w:tcPr>
            <w:tcW w:type="dxa" w:w="1020"/>
            <w:shd w:fill="F3F5F7"/>
            <w:vAlign w:val="center"/>
          </w:tcPr>
          <w:p>
            <w:pPr>
              <w:spacing w:after="20" w:before="20"/>
            </w:pPr>
            <w:r>
              <w:rPr>
                <w:rFonts w:ascii="等线" w:hAnsi="等线"/>
                <w:sz w:val="15"/>
              </w:rPr>
              <w:t>BUG-02</w:t>
            </w:r>
          </w:p>
        </w:tc>
        <w:tc>
          <w:tcPr>
            <w:tcW w:type="dxa" w:w="2041"/>
            <w:shd w:fill="F3F5F7"/>
            <w:vAlign w:val="center"/>
          </w:tcPr>
          <w:p>
            <w:pPr>
              <w:spacing w:after="20" w:before="20"/>
            </w:pPr>
            <w:r>
              <w:rPr>
                <w:rFonts w:ascii="等线" w:hAnsi="等线"/>
                <w:sz w:val="15"/>
              </w:rPr>
              <w:t>浏览器能打开但提示无法连接后端</w:t>
            </w:r>
          </w:p>
        </w:tc>
        <w:tc>
          <w:tcPr>
            <w:tcW w:type="dxa" w:w="1984"/>
            <w:shd w:fill="F3F5F7"/>
            <w:vAlign w:val="center"/>
          </w:tcPr>
          <w:p>
            <w:pPr>
              <w:spacing w:after="20" w:before="20"/>
            </w:pPr>
            <w:r>
              <w:rPr>
                <w:rFonts w:ascii="等线" w:hAnsi="等线"/>
                <w:sz w:val="15"/>
              </w:rPr>
              <w:t>前端先于后端健康或 Docker 未完整启动</w:t>
            </w:r>
          </w:p>
        </w:tc>
        <w:tc>
          <w:tcPr>
            <w:tcW w:type="dxa" w:w="2608"/>
            <w:shd w:fill="F3F5F7"/>
            <w:vAlign w:val="center"/>
          </w:tcPr>
          <w:p>
            <w:pPr>
              <w:spacing w:after="20" w:before="20"/>
            </w:pPr>
            <w:r>
              <w:rPr>
                <w:rFonts w:ascii="等线" w:hAnsi="等线"/>
                <w:sz w:val="15"/>
              </w:rPr>
              <w:t>启动器以 /api/health 为打开浏览器条件</w:t>
            </w:r>
          </w:p>
        </w:tc>
        <w:tc>
          <w:tcPr>
            <w:tcW w:type="dxa" w:w="1191"/>
            <w:shd w:fill="F3F5F7"/>
            <w:vAlign w:val="center"/>
          </w:tcPr>
          <w:p>
            <w:pPr>
              <w:spacing w:after="20" w:before="20"/>
            </w:pPr>
            <w:r>
              <w:rPr>
                <w:rFonts w:ascii="等线" w:hAnsi="等线"/>
                <w:sz w:val="15"/>
              </w:rPr>
              <w:t>健康与 E2E 通过</w:t>
            </w:r>
          </w:p>
        </w:tc>
      </w:tr>
      <w:tr>
        <w:trPr>
          <w:cantSplit/>
        </w:trPr>
        <w:tc>
          <w:tcPr>
            <w:tcW w:type="dxa" w:w="1020"/>
            <w:vAlign w:val="center"/>
          </w:tcPr>
          <w:p>
            <w:pPr>
              <w:spacing w:after="20" w:before="20"/>
            </w:pPr>
            <w:r>
              <w:rPr>
                <w:rFonts w:ascii="等线" w:hAnsi="等线"/>
                <w:sz w:val="15"/>
              </w:rPr>
              <w:t>BUG-03</w:t>
            </w:r>
          </w:p>
        </w:tc>
        <w:tc>
          <w:tcPr>
            <w:tcW w:type="dxa" w:w="2041"/>
            <w:vAlign w:val="center"/>
          </w:tcPr>
          <w:p>
            <w:pPr>
              <w:spacing w:after="20" w:before="20"/>
            </w:pPr>
            <w:r>
              <w:rPr>
                <w:rFonts w:ascii="等线" w:hAnsi="等线"/>
                <w:sz w:val="15"/>
              </w:rPr>
              <w:t>DeepSeek 测试成功但模板问题显示本地</w:t>
            </w:r>
          </w:p>
        </w:tc>
        <w:tc>
          <w:tcPr>
            <w:tcW w:type="dxa" w:w="1984"/>
            <w:vAlign w:val="center"/>
          </w:tcPr>
          <w:p>
            <w:pPr>
              <w:spacing w:after="20" w:before="20"/>
            </w:pPr>
            <w:r>
              <w:rPr>
                <w:rFonts w:ascii="等线" w:hAnsi="等线"/>
                <w:sz w:val="15"/>
              </w:rPr>
              <w:t>模板解析优先级高于 AI resolver</w:t>
            </w:r>
          </w:p>
        </w:tc>
        <w:tc>
          <w:tcPr>
            <w:tcW w:type="dxa" w:w="2608"/>
            <w:vAlign w:val="center"/>
          </w:tcPr>
          <w:p>
            <w:pPr>
              <w:spacing w:after="20" w:before="20"/>
            </w:pPr>
            <w:r>
              <w:rPr>
                <w:rFonts w:ascii="等线" w:hAnsi="等线"/>
                <w:sz w:val="15"/>
              </w:rPr>
              <w:t>启用配置时先走 AI，失败才回退模板</w:t>
            </w:r>
          </w:p>
        </w:tc>
        <w:tc>
          <w:tcPr>
            <w:tcW w:type="dxa" w:w="1191"/>
            <w:vAlign w:val="center"/>
          </w:tcPr>
          <w:p>
            <w:pPr>
              <w:spacing w:after="20" w:before="20"/>
            </w:pPr>
            <w:r>
              <w:rPr>
                <w:rFonts w:ascii="等线" w:hAnsi="等线"/>
                <w:sz w:val="15"/>
              </w:rPr>
              <w:t>TC-07 通过</w:t>
            </w:r>
          </w:p>
        </w:tc>
      </w:tr>
      <w:tr>
        <w:trPr>
          <w:cantSplit/>
        </w:trPr>
        <w:tc>
          <w:tcPr>
            <w:tcW w:type="dxa" w:w="1020"/>
            <w:shd w:fill="F3F5F7"/>
            <w:vAlign w:val="center"/>
          </w:tcPr>
          <w:p>
            <w:pPr>
              <w:spacing w:after="20" w:before="20"/>
            </w:pPr>
            <w:r>
              <w:rPr>
                <w:rFonts w:ascii="等线" w:hAnsi="等线"/>
                <w:sz w:val="15"/>
              </w:rPr>
              <w:t>BUG-04</w:t>
            </w:r>
          </w:p>
        </w:tc>
        <w:tc>
          <w:tcPr>
            <w:tcW w:type="dxa" w:w="2041"/>
            <w:shd w:fill="F3F5F7"/>
            <w:vAlign w:val="center"/>
          </w:tcPr>
          <w:p>
            <w:pPr>
              <w:spacing w:after="20" w:before="20"/>
            </w:pPr>
            <w:r>
              <w:rPr>
                <w:rFonts w:ascii="等线" w:hAnsi="等线"/>
                <w:sz w:val="15"/>
              </w:rPr>
              <w:t>本机代理下 DeepSeek 域名被识别为私网</w:t>
            </w:r>
          </w:p>
        </w:tc>
        <w:tc>
          <w:tcPr>
            <w:tcW w:type="dxa" w:w="1984"/>
            <w:shd w:fill="F3F5F7"/>
            <w:vAlign w:val="center"/>
          </w:tcPr>
          <w:p>
            <w:pPr>
              <w:spacing w:after="20" w:before="20"/>
            </w:pPr>
            <w:r>
              <w:rPr>
                <w:rFonts w:ascii="等线" w:hAnsi="等线"/>
                <w:sz w:val="15"/>
              </w:rPr>
              <w:t>代理 Fake-IP 使用 198.18.0.0/15</w:t>
            </w:r>
          </w:p>
        </w:tc>
        <w:tc>
          <w:tcPr>
            <w:tcW w:type="dxa" w:w="2608"/>
            <w:shd w:fill="F3F5F7"/>
            <w:vAlign w:val="center"/>
          </w:tcPr>
          <w:p>
            <w:pPr>
              <w:spacing w:after="20" w:before="20"/>
            </w:pPr>
            <w:r>
              <w:rPr>
                <w:rFonts w:ascii="等线" w:hAnsi="等线"/>
                <w:sz w:val="15"/>
              </w:rPr>
              <w:t>仅为 DeepSeek 官方 HTTPS 白名单兼容 Fake-IP</w:t>
            </w:r>
          </w:p>
        </w:tc>
        <w:tc>
          <w:tcPr>
            <w:tcW w:type="dxa" w:w="1191"/>
            <w:shd w:fill="F3F5F7"/>
            <w:vAlign w:val="center"/>
          </w:tcPr>
          <w:p>
            <w:pPr>
              <w:spacing w:after="20" w:before="20"/>
            </w:pPr>
            <w:r>
              <w:rPr>
                <w:rFonts w:ascii="等线" w:hAnsi="等线"/>
                <w:sz w:val="15"/>
              </w:rPr>
              <w:t>AI 客户端专项通过</w:t>
            </w:r>
          </w:p>
        </w:tc>
      </w:tr>
      <w:tr>
        <w:trPr>
          <w:cantSplit/>
        </w:trPr>
        <w:tc>
          <w:tcPr>
            <w:tcW w:type="dxa" w:w="1020"/>
            <w:vAlign w:val="center"/>
          </w:tcPr>
          <w:p>
            <w:pPr>
              <w:spacing w:after="20" w:before="20"/>
            </w:pPr>
            <w:r>
              <w:rPr>
                <w:rFonts w:ascii="等线" w:hAnsi="等线"/>
                <w:sz w:val="15"/>
              </w:rPr>
              <w:t>BUG-05</w:t>
            </w:r>
          </w:p>
        </w:tc>
        <w:tc>
          <w:tcPr>
            <w:tcW w:type="dxa" w:w="2041"/>
            <w:vAlign w:val="center"/>
          </w:tcPr>
          <w:p>
            <w:pPr>
              <w:spacing w:after="20" w:before="20"/>
            </w:pPr>
            <w:r>
              <w:rPr>
                <w:rFonts w:ascii="等线" w:hAnsi="等线"/>
                <w:sz w:val="15"/>
              </w:rPr>
              <w:t>AI 报告可能出现事实外数字</w:t>
            </w:r>
          </w:p>
        </w:tc>
        <w:tc>
          <w:tcPr>
            <w:tcW w:type="dxa" w:w="1984"/>
            <w:vAlign w:val="center"/>
          </w:tcPr>
          <w:p>
            <w:pPr>
              <w:spacing w:after="20" w:before="20"/>
            </w:pPr>
            <w:r>
              <w:rPr>
                <w:rFonts w:ascii="等线" w:hAnsi="等线"/>
                <w:sz w:val="15"/>
              </w:rPr>
              <w:t>生成叙述缺少数字来源校验</w:t>
            </w:r>
          </w:p>
        </w:tc>
        <w:tc>
          <w:tcPr>
            <w:tcW w:type="dxa" w:w="2608"/>
            <w:vAlign w:val="center"/>
          </w:tcPr>
          <w:p>
            <w:pPr>
              <w:spacing w:after="20" w:before="20"/>
            </w:pPr>
            <w:r>
              <w:rPr>
                <w:rFonts w:ascii="等线" w:hAnsi="等线"/>
                <w:sz w:val="15"/>
              </w:rPr>
              <w:t>提取本地事实数字并拒绝额外数字</w:t>
            </w:r>
          </w:p>
        </w:tc>
        <w:tc>
          <w:tcPr>
            <w:tcW w:type="dxa" w:w="1191"/>
            <w:vAlign w:val="center"/>
          </w:tcPr>
          <w:p>
            <w:pPr>
              <w:spacing w:after="20" w:before="20"/>
            </w:pPr>
            <w:r>
              <w:rPr>
                <w:rFonts w:ascii="等线" w:hAnsi="等线"/>
                <w:sz w:val="15"/>
              </w:rPr>
              <w:t>TC-14 通过</w:t>
            </w:r>
          </w:p>
        </w:tc>
      </w:tr>
      <w:tr>
        <w:trPr>
          <w:cantSplit/>
        </w:trPr>
        <w:tc>
          <w:tcPr>
            <w:tcW w:type="dxa" w:w="1020"/>
            <w:shd w:fill="F3F5F7"/>
            <w:vAlign w:val="center"/>
          </w:tcPr>
          <w:p>
            <w:pPr>
              <w:spacing w:after="20" w:before="20"/>
            </w:pPr>
            <w:r>
              <w:rPr>
                <w:rFonts w:ascii="等线" w:hAnsi="等线"/>
                <w:sz w:val="15"/>
              </w:rPr>
              <w:t>BUG-06</w:t>
            </w:r>
          </w:p>
        </w:tc>
        <w:tc>
          <w:tcPr>
            <w:tcW w:type="dxa" w:w="2041"/>
            <w:shd w:fill="F3F5F7"/>
            <w:vAlign w:val="center"/>
          </w:tcPr>
          <w:p>
            <w:pPr>
              <w:spacing w:after="20" w:before="20"/>
            </w:pPr>
            <w:r>
              <w:rPr>
                <w:rFonts w:ascii="等线" w:hAnsi="等线"/>
                <w:sz w:val="15"/>
              </w:rPr>
              <w:t>后端重启可能重复加载演示数据</w:t>
            </w:r>
          </w:p>
        </w:tc>
        <w:tc>
          <w:tcPr>
            <w:tcW w:type="dxa" w:w="1984"/>
            <w:shd w:fill="F3F5F7"/>
            <w:vAlign w:val="center"/>
          </w:tcPr>
          <w:p>
            <w:pPr>
              <w:spacing w:after="20" w:before="20"/>
            </w:pPr>
            <w:r>
              <w:rPr>
                <w:rFonts w:ascii="等线" w:hAnsi="等线"/>
                <w:sz w:val="15"/>
              </w:rPr>
              <w:t>启动播种未识别现有活动数据集</w:t>
            </w:r>
          </w:p>
        </w:tc>
        <w:tc>
          <w:tcPr>
            <w:tcW w:type="dxa" w:w="2608"/>
            <w:shd w:fill="F3F5F7"/>
            <w:vAlign w:val="center"/>
          </w:tcPr>
          <w:p>
            <w:pPr>
              <w:spacing w:after="20" w:before="20"/>
            </w:pPr>
            <w:r>
              <w:rPr>
                <w:rFonts w:ascii="等线" w:hAnsi="等线"/>
                <w:sz w:val="15"/>
              </w:rPr>
              <w:t>增加场景状态与数据存在性判断</w:t>
            </w:r>
          </w:p>
        </w:tc>
        <w:tc>
          <w:tcPr>
            <w:tcW w:type="dxa" w:w="1191"/>
            <w:shd w:fill="F3F5F7"/>
            <w:vAlign w:val="center"/>
          </w:tcPr>
          <w:p>
            <w:pPr>
              <w:spacing w:after="20" w:before="20"/>
            </w:pPr>
            <w:r>
              <w:rPr>
                <w:rFonts w:ascii="等线" w:hAnsi="等线"/>
                <w:sz w:val="15"/>
              </w:rPr>
              <w:t>TC-20 通过</w:t>
            </w:r>
          </w:p>
        </w:tc>
      </w:tr>
    </w:tbl>
    <w:p>
      <w:pPr>
        <w:spacing w:after="0"/>
      </w:pPr>
    </w:p>
    <w:p>
      <w:pPr>
        <w:jc w:val="center"/>
      </w:pPr>
      <w:r>
        <w:drawing>
          <wp:inline xmlns:a="http://schemas.openxmlformats.org/drawingml/2006/main" xmlns:pic="http://schemas.openxmlformats.org/drawingml/2006/picture">
            <wp:extent cx="5669280" cy="3622040"/>
            <wp:docPr id="1" name="Picture 1"/>
            <wp:cNvGraphicFramePr>
              <a:graphicFrameLocks noChangeAspect="1"/>
            </wp:cNvGraphicFramePr>
            <a:graphic>
              <a:graphicData uri="http://schemas.openxmlformats.org/drawingml/2006/picture">
                <pic:pic>
                  <pic:nvPicPr>
                    <pic:cNvPr id="0" name="desktop-report.png"/>
                    <pic:cNvPicPr/>
                  </pic:nvPicPr>
                  <pic:blipFill>
                    <a:blip r:embed="rId11"/>
                    <a:stretch>
                      <a:fillRect/>
                    </a:stretch>
                  </pic:blipFill>
                  <pic:spPr>
                    <a:xfrm>
                      <a:off x="0" y="0"/>
                      <a:ext cx="5669280" cy="3622040"/>
                    </a:xfrm>
                    <a:prstGeom prst="rect"/>
                  </pic:spPr>
                </pic:pic>
              </a:graphicData>
            </a:graphic>
          </wp:inline>
        </w:drawing>
      </w:r>
    </w:p>
    <w:p>
      <w:pPr>
        <w:keepNext w:val="0"/>
        <w:jc w:val="center"/>
      </w:pPr>
      <w:r>
        <w:rPr>
          <w:i/>
          <w:color w:val="667085"/>
          <w:sz w:val="18"/>
        </w:rPr>
        <w:t>图 1 报告生成实机界面</w:t>
      </w:r>
    </w:p>
    <w:p>
      <w:pPr>
        <w:pStyle w:val="Heading1"/>
      </w:pPr>
      <w:r>
        <w:t>4 结论与限制</w:t>
      </w:r>
    </w:p>
    <w:p>
      <w:r>
        <w:t>核心功能、AI 安全边界、数据预检、行动闭环和响应式流程均已形成自动化或实机证据。系统仍定位为本地演示原型；真实模型可用性和耗时受外部服务影响，预测与归因只能作为辅助判断。</w:t>
      </w:r>
    </w:p>
    <w:sectPr w:rsidR="00FC693F" w:rsidRPr="0006063C" w:rsidSect="00034616">
      <w:headerReference w:type="default" r:id="rId9"/>
      <w:footerReference w:type="default" r:id="rId10"/>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color w:val="667085"/>
        <w:sz w:val="17"/>
      </w:rPr>
      <w:t xml:space="preserve">第 </w:t>
    </w:r>
    <w:fldSimple w:instr="PAGE"/>
    <w:r>
      <w:rPr>
        <w:rFonts w:ascii="等线" w:hAnsi="等线"/>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等线" w:hAnsi="等线"/>
        <w:color w:val="667085"/>
        <w:sz w:val="17"/>
      </w:rPr>
      <w:t>智能 BI 数据洞察与报告生成平台    TEST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等线" w:hAnsi="等线" w:eastAsia="等线"/>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等线" w:hAnsi="等线" w:eastAsia="等线"/>
      <w:b/>
      <w:bCs/>
      <w:color w:val="24445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等线" w:hAnsi="等线" w:eastAsia="等线"/>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等线" w:hAnsi="等线" w:eastAsia="等线"/>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8.测试日志</dc:title>
  <dc:subject>智能 BI 数据洞察与报告生成平台</dc:subject>
  <dc:creator>王正、胡辰朋、杜宇涵</dc:creator>
  <cp:keywords>智能BI, Text-to-SQL, DeepSeek, FastAPI, Vue, MySQL</cp:keywords>
  <dc:description>generated by python-docx</dc:description>
  <cp:lastModifiedBy/>
  <cp:revision>1</cp:revision>
  <dcterms:created xsi:type="dcterms:W3CDTF">2013-12-23T23:15:00Z</dcterms:created>
  <dcterms:modified xsi:type="dcterms:W3CDTF">2013-12-23T23:15:00Z</dcterms:modified>
  <cp:category/>
</cp:coreProperties>
</file>