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«Двухфакторный дисперсионный анализ»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самостоятельной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h39tcwuki7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_heading=h.h39tcwuki7eh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8r8t2mo314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_heading=h.n8r8t2mo314v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9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самостоятельной работы:</w:t>
      </w:r>
    </w:p>
    <w:p w:rsidR="00000000" w:rsidDel="00000000" w:rsidP="00000000" w:rsidRDefault="00000000" w:rsidRPr="00000000" w14:paraId="00000023">
      <w:pPr>
        <w:ind w:firstLine="427"/>
        <w:rPr/>
      </w:pPr>
      <w:r w:rsidDel="00000000" w:rsidR="00000000" w:rsidRPr="00000000">
        <w:rPr>
          <w:rtl w:val="0"/>
        </w:rPr>
        <w:t xml:space="preserve">Ознакомиться с двухфакторным дисперсионным анализом на примере решения самостоятельно сформулированной задачи.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9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5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9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7">
      <w:pPr>
        <w:ind w:firstLine="427"/>
        <w:rPr/>
      </w:pPr>
      <w:r w:rsidDel="00000000" w:rsidR="00000000" w:rsidRPr="00000000">
        <w:rPr>
          <w:rtl w:val="0"/>
        </w:rPr>
        <w:t xml:space="preserve">Решить предложенную задачу, используя математический аппарат двухфакторного дисперсионного анализа. </w:t>
      </w:r>
    </w:p>
    <w:p w:rsidR="00000000" w:rsidDel="00000000" w:rsidP="00000000" w:rsidRDefault="00000000" w:rsidRPr="00000000" w14:paraId="00000028">
      <w:pPr>
        <w:ind w:firstLine="427"/>
        <w:rPr/>
      </w:pPr>
      <w:r w:rsidDel="00000000" w:rsidR="00000000" w:rsidRPr="00000000">
        <w:rPr>
          <w:rtl w:val="0"/>
        </w:rPr>
        <w:t xml:space="preserve">Решение получить в виде конкретных числовых значений и итогового вывода.</w:t>
      </w:r>
    </w:p>
    <w:p w:rsidR="00000000" w:rsidDel="00000000" w:rsidP="00000000" w:rsidRDefault="00000000" w:rsidRPr="00000000" w14:paraId="00000029">
      <w:pPr>
        <w:ind w:firstLine="427"/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2A">
      <w:pPr>
        <w:ind w:firstLine="427"/>
        <w:rPr/>
      </w:pPr>
      <w:r w:rsidDel="00000000" w:rsidR="00000000" w:rsidRPr="00000000">
        <w:rPr>
          <w:rtl w:val="0"/>
        </w:rPr>
        <w:tab/>
        <w:t xml:space="preserve">На некотором предприятии провели опрос 6 групп сотрудников по разным специальностям с целью выяснить: приятно ли работать в данной организации?</w:t>
      </w:r>
    </w:p>
    <w:p w:rsidR="00000000" w:rsidDel="00000000" w:rsidP="00000000" w:rsidRDefault="00000000" w:rsidRPr="00000000" w14:paraId="0000002B">
      <w:pPr>
        <w:ind w:firstLine="427"/>
        <w:rPr/>
      </w:pPr>
      <w:r w:rsidDel="00000000" w:rsidR="00000000" w:rsidRPr="00000000">
        <w:rPr>
          <w:rtl w:val="0"/>
        </w:rPr>
        <w:t xml:space="preserve">Для этого задавали вопросы: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- Близко ли сотрудник живет (1) или нет (2);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– достойная ли зарплата (1) или нет (2), или же удовлетворяет и то, и другое, в зависимости от ответов в каждой группе подсчитывалось число человек, соответствующих тем или иным состоянием уровней А или В.</w:t>
      </w:r>
    </w:p>
    <w:p w:rsidR="00000000" w:rsidDel="00000000" w:rsidP="00000000" w:rsidRDefault="00000000" w:rsidRPr="00000000" w14:paraId="0000002E">
      <w:pPr>
        <w:ind w:left="774" w:firstLine="0"/>
        <w:rPr/>
      </w:pPr>
      <w:r w:rsidDel="00000000" w:rsidR="00000000" w:rsidRPr="00000000">
        <w:rPr>
          <w:rtl w:val="0"/>
        </w:rPr>
        <w:t xml:space="preserve">Данные опросы систематизированы в табл.:</w:t>
      </w:r>
    </w:p>
    <w:tbl>
      <w:tblPr>
        <w:tblStyle w:val="Table1"/>
        <w:tblW w:w="9344.999999999998" w:type="dxa"/>
        <w:jc w:val="left"/>
        <w:tblInd w:w="0.0" w:type="dxa"/>
        <w:tblLayout w:type="fixed"/>
        <w:tblLook w:val="0400"/>
      </w:tblPr>
      <w:tblGrid>
        <w:gridCol w:w="726"/>
        <w:gridCol w:w="945"/>
        <w:gridCol w:w="1279"/>
        <w:gridCol w:w="1279"/>
        <w:gridCol w:w="1279"/>
        <w:gridCol w:w="1279"/>
        <w:gridCol w:w="1279"/>
        <w:gridCol w:w="1279"/>
        <w:tblGridChange w:id="0">
          <w:tblGrid>
            <w:gridCol w:w="726"/>
            <w:gridCol w:w="945"/>
            <w:gridCol w:w="1279"/>
            <w:gridCol w:w="1279"/>
            <w:gridCol w:w="1279"/>
            <w:gridCol w:w="1279"/>
            <w:gridCol w:w="1279"/>
            <w:gridCol w:w="127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№ группы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состояние уровней А и В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уровней в группах Xijm, m = 1,2,...,n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1-я 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2-я 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3-я 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4-я 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5-я 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6-я специальность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F">
      <w:pPr>
        <w:ind w:left="7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9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8"/>
        </w:numPr>
        <w:ind w:left="1440" w:hanging="360"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Промежуточные вычисления, построение вспомогательной таблицы:</w:t>
      </w:r>
    </w:p>
    <w:tbl>
      <w:tblPr>
        <w:tblStyle w:val="Table2"/>
        <w:tblW w:w="93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897"/>
        <w:gridCol w:w="784"/>
        <w:gridCol w:w="750"/>
        <w:gridCol w:w="739"/>
        <w:gridCol w:w="739"/>
        <w:gridCol w:w="671"/>
        <w:gridCol w:w="671"/>
        <w:gridCol w:w="671"/>
        <w:gridCol w:w="671"/>
        <w:gridCol w:w="671"/>
        <w:gridCol w:w="671"/>
        <w:gridCol w:w="695"/>
        <w:tblGridChange w:id="0">
          <w:tblGrid>
            <w:gridCol w:w="715"/>
            <w:gridCol w:w="897"/>
            <w:gridCol w:w="784"/>
            <w:gridCol w:w="750"/>
            <w:gridCol w:w="739"/>
            <w:gridCol w:w="739"/>
            <w:gridCol w:w="671"/>
            <w:gridCol w:w="671"/>
            <w:gridCol w:w="671"/>
            <w:gridCol w:w="671"/>
            <w:gridCol w:w="671"/>
            <w:gridCol w:w="671"/>
            <w:gridCol w:w="6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группы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состояние уровней А и 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Cij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Cj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CIJ^2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Xijm^2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Sm=1 до n Xijm^2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4918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 =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904</w:t>
            </w:r>
          </w:p>
        </w:tc>
      </w:tr>
    </w:tbl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сумм квадратов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  <w:t xml:space="preserve">Общая сумма квадратов:</w:t>
      </w:r>
    </w:p>
    <w:p w:rsidR="00000000" w:rsidDel="00000000" w:rsidP="00000000" w:rsidRDefault="00000000" w:rsidRPr="00000000" w14:paraId="000000C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=904-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126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r>
          <w:rPr>
            <w:rFonts w:ascii="Cambria Math" w:cs="Cambria Math" w:eastAsia="Cambria Math" w:hAnsi="Cambria Math"/>
          </w:rPr>
          <m:t xml:space="preserve">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  <w:t xml:space="preserve">Взвешенная сумма квадратов эффектов факторов А и В (сумма квадратов между группами):</w:t>
      </w:r>
    </w:p>
    <w:p w:rsidR="00000000" w:rsidDel="00000000" w:rsidP="00000000" w:rsidRDefault="00000000" w:rsidRPr="00000000" w14:paraId="000000D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1849+6889</m:t>
            </m:r>
          </m:e>
        </m:d>
        <m:r>
          <w:rPr>
            <w:rFonts w:ascii="Cambria Math" w:cs="Cambria Math" w:eastAsia="Cambria Math" w:hAnsi="Cambria Math"/>
          </w:rPr>
          <m:t xml:space="preserve">-661.5=66,67;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2025+6561</m:t>
            </m:r>
          </m:e>
        </m:d>
        <m:r>
          <w:rPr>
            <w:rFonts w:ascii="Cambria Math" w:cs="Cambria Math" w:eastAsia="Cambria Math" w:hAnsi="Cambria Math"/>
          </w:rPr>
          <m:t xml:space="preserve">-661.5=54.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  <w:t xml:space="preserve">Взвешенная сумма квадратов взаимодействия уровней факторов А и В или смешанный эффект факторов А и В (сумма квадратов между группами):</w:t>
      </w:r>
    </w:p>
    <w:p w:rsidR="00000000" w:rsidDel="00000000" w:rsidP="00000000" w:rsidRDefault="00000000" w:rsidRPr="00000000" w14:paraId="000000D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⋅4918-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66.67+54+661.5</m:t>
            </m:r>
          </m:e>
        </m:d>
        <m:r>
          <w:rPr>
            <w:rFonts w:ascii="Cambria Math" w:cs="Cambria Math" w:eastAsia="Cambria Math" w:hAnsi="Cambria Math"/>
          </w:rPr>
          <m:t xml:space="preserve">=37.5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Ошибка эксперимента (сумма квадратов внутри групп):</w:t>
      </w:r>
    </w:p>
    <w:p w:rsidR="00000000" w:rsidDel="00000000" w:rsidP="00000000" w:rsidRDefault="00000000" w:rsidRPr="00000000" w14:paraId="000000D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=904-819.66=84.33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0D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=242.5-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66.67+54+37.5</m:t>
            </m:r>
          </m:e>
        </m:d>
        <m:r>
          <w:rPr>
            <w:rFonts w:ascii="Cambria Math" w:cs="Cambria Math" w:eastAsia="Cambria Math" w:hAnsi="Cambria Math"/>
          </w:rPr>
          <m:t xml:space="preserve">=84.33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дисперсий</w:t>
      </w:r>
    </w:p>
    <w:p w:rsidR="00000000" w:rsidDel="00000000" w:rsidP="00000000" w:rsidRDefault="00000000" w:rsidRPr="00000000" w14:paraId="000000DA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242.5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=10.54;ν=N-1=24-1=23;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66.67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=66.67;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=9.38;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a-1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b-1</m:t>
            </m:r>
          </m:e>
        </m:d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84.33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6.49;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гипотез</w:t>
      </w:r>
    </w:p>
    <w:p w:rsidR="00000000" w:rsidDel="00000000" w:rsidP="00000000" w:rsidRDefault="00000000" w:rsidRPr="00000000" w14:paraId="000000E0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66.67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6.49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10.28</m:t>
        </m:r>
      </m:oMath>
      <w:r w:rsidDel="00000000" w:rsidR="00000000" w:rsidRPr="00000000">
        <w:rPr>
          <w:rtl w:val="0"/>
        </w:rPr>
        <w:t xml:space="preserve"> (при а=0,05;v1=2;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=10.28&gt;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отклоняется.</w:t>
      </w:r>
    </w:p>
    <w:p w:rsidR="00000000" w:rsidDel="00000000" w:rsidP="00000000" w:rsidRDefault="00000000" w:rsidRPr="00000000" w14:paraId="000000E2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6.49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8.32</m:t>
        </m:r>
      </m:oMath>
      <w:r w:rsidDel="00000000" w:rsidR="00000000" w:rsidRPr="00000000">
        <w:rPr>
          <w:rtl w:val="0"/>
        </w:rPr>
        <w:t xml:space="preserve"> (при а=0,05;v1=2;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=8.32&gt;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отклоняется.</w:t>
      </w:r>
    </w:p>
    <w:p w:rsidR="00000000" w:rsidDel="00000000" w:rsidP="00000000" w:rsidRDefault="00000000" w:rsidRPr="00000000" w14:paraId="000000E4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9.38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6.49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1.45</m:t>
        </m:r>
      </m:oMath>
      <w:r w:rsidDel="00000000" w:rsidR="00000000" w:rsidRPr="00000000">
        <w:rPr>
          <w:rtl w:val="0"/>
        </w:rPr>
        <w:t xml:space="preserve"> (при а=0,05;v1=4;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=1.45&lt;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=3,18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принимается.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Наблюденные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Таким образом, дисперсионный анализ выявил существенное влияние на результативный признак факторов А и В.</w:t>
      </w:r>
    </w:p>
    <w:p w:rsidR="00000000" w:rsidDel="00000000" w:rsidP="00000000" w:rsidRDefault="00000000" w:rsidRPr="00000000" w14:paraId="000000E8">
      <w:pPr>
        <w:pStyle w:val="Heading2"/>
        <w:numPr>
          <w:ilvl w:val="0"/>
          <w:numId w:val="18"/>
        </w:numPr>
        <w:ind w:left="1440" w:hanging="360"/>
        <w:rPr>
          <w:u w:val="none"/>
        </w:rPr>
      </w:pPr>
      <w:bookmarkStart w:colFirst="0" w:colLast="0" w:name="_heading=h.h39tcwuki7eh" w:id="5"/>
      <w:bookmarkEnd w:id="5"/>
      <w:r w:rsidDel="00000000" w:rsidR="00000000" w:rsidRPr="00000000">
        <w:rPr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0EA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зависимости привлекательности работы в организации  от месторасположения и/или зарплаты.</w:t>
      </w:r>
    </w:p>
    <w:p w:rsidR="00000000" w:rsidDel="00000000" w:rsidP="00000000" w:rsidRDefault="00000000" w:rsidRPr="00000000" w14:paraId="000000EB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215"/>
        <w:gridCol w:w="660"/>
        <w:gridCol w:w="750"/>
        <w:gridCol w:w="735"/>
        <w:gridCol w:w="735"/>
        <w:gridCol w:w="675"/>
        <w:gridCol w:w="675"/>
        <w:gridCol w:w="675"/>
        <w:gridCol w:w="675"/>
        <w:gridCol w:w="675"/>
        <w:gridCol w:w="675"/>
        <w:gridCol w:w="1230"/>
        <w:tblGridChange w:id="0">
          <w:tblGrid>
            <w:gridCol w:w="960"/>
            <w:gridCol w:w="1215"/>
            <w:gridCol w:w="660"/>
            <w:gridCol w:w="750"/>
            <w:gridCol w:w="735"/>
            <w:gridCol w:w="735"/>
            <w:gridCol w:w="675"/>
            <w:gridCol w:w="675"/>
            <w:gridCol w:w="675"/>
            <w:gridCol w:w="675"/>
            <w:gridCol w:w="675"/>
            <w:gridCol w:w="675"/>
            <w:gridCol w:w="12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m</m:t>
                  </m:r>
                </m:sub>
              </m:sSub>
              <m:r>
                <w:rPr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gridSpan w:val="2"/>
            <w:vMerge w:val="restart"/>
            <w:tcBorders>
              <w:top w:color="222222" w:space="0" w:sz="4" w:val="single"/>
              <w:lef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4918</w:t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6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222222" w:space="0" w:sz="4" w:val="single"/>
              <w:bottom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904</w:t>
            </w:r>
          </w:p>
        </w:tc>
      </w:tr>
    </w:tbl>
    <w:p w:rsidR="00000000" w:rsidDel="00000000" w:rsidP="00000000" w:rsidRDefault="00000000" w:rsidRPr="00000000" w14:paraId="0000015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Вычислим суммы:</w:t>
        <w:br w:type="textWrapping"/>
      </w:r>
    </w:p>
    <w:p w:rsidR="00000000" w:rsidDel="00000000" w:rsidP="00000000" w:rsidRDefault="00000000" w:rsidRPr="00000000" w14:paraId="0000015C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- сумму квадратов общих эффектов - 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5D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вклад в общую сумму, обусловленный различиями в уровнях фактора А или взвешенную сумму квадратов эффектов фактора A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=66,67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вклад в общую сумму, обусловленный различиями в уровнях фактора B или взвешенную сумму квадратов эффектов фактора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1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 взвешенную сумму квадратов взаимодействия уровней фактора A и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=37,5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-  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Произведем проверку вычислений: </w:t>
      </w:r>
    </w:p>
    <w:p w:rsidR="00000000" w:rsidDel="00000000" w:rsidP="00000000" w:rsidRDefault="00000000" w:rsidRPr="00000000" w14:paraId="00000168">
      <w:pPr>
        <w:ind w:firstLine="0"/>
        <w:rPr/>
      </w:pPr>
      <w:r w:rsidDel="00000000" w:rsidR="00000000" w:rsidRPr="00000000">
        <w:rPr>
          <w:rtl w:val="0"/>
        </w:rPr>
        <w:t xml:space="preserve">Проверим подчиняются ли наши значения основному уравнению двухфакторного дисперсионного анализа:</w:t>
      </w:r>
    </w:p>
    <w:p w:rsidR="00000000" w:rsidDel="00000000" w:rsidP="00000000" w:rsidRDefault="00000000" w:rsidRPr="00000000" w14:paraId="0000016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242,5=66,67+54+37,5+84,33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242,5=242,5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Произведем оценку дисперсий и расчет степеней свободы: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оценка общей дисперсии:</w:t>
      </w:r>
    </w:p>
    <w:p w:rsidR="00000000" w:rsidDel="00000000" w:rsidP="00000000" w:rsidRDefault="00000000" w:rsidRPr="00000000" w14:paraId="0000016E">
      <w:pPr>
        <w:jc w:val="center"/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242.5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=10,54;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число степеней свободы при определении общей дисперсии:</w:t>
      </w:r>
    </w:p>
    <w:p w:rsidR="00000000" w:rsidDel="00000000" w:rsidP="00000000" w:rsidRDefault="00000000" w:rsidRPr="00000000" w14:paraId="00000170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оценка дисперсии по уровням фактора A:</w:t>
      </w:r>
    </w:p>
    <w:p w:rsidR="00000000" w:rsidDel="00000000" w:rsidP="00000000" w:rsidRDefault="00000000" w:rsidRPr="00000000" w14:paraId="00000172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66.67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=66,67;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число степеней свободы фактора A:</w:t>
      </w:r>
    </w:p>
    <w:p w:rsidR="00000000" w:rsidDel="00000000" w:rsidP="00000000" w:rsidRDefault="00000000" w:rsidRPr="00000000" w14:paraId="00000174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оценка дисперсии по уровням фактора B:</w:t>
      </w:r>
    </w:p>
    <w:p w:rsidR="00000000" w:rsidDel="00000000" w:rsidP="00000000" w:rsidRDefault="00000000" w:rsidRPr="00000000" w14:paraId="00000176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число степеней свободы фактора B:</w:t>
      </w:r>
    </w:p>
    <w:p w:rsidR="00000000" w:rsidDel="00000000" w:rsidP="00000000" w:rsidRDefault="00000000" w:rsidRPr="00000000" w14:paraId="00000178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оценка дисперсии по уровням фактора A и B:</w:t>
      </w:r>
    </w:p>
    <w:p w:rsidR="00000000" w:rsidDel="00000000" w:rsidP="00000000" w:rsidRDefault="00000000" w:rsidRPr="00000000" w14:paraId="0000017A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=9,38;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число степеней свободы взаимодействия фактора A и B:</w:t>
      </w:r>
    </w:p>
    <w:p w:rsidR="00000000" w:rsidDel="00000000" w:rsidP="00000000" w:rsidRDefault="00000000" w:rsidRPr="00000000" w14:paraId="0000017C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a-1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b-1</m:t>
            </m:r>
          </m:e>
        </m:d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остаточная оценка дисперсии (дисперсия ошибки):</w:t>
      </w:r>
    </w:p>
    <w:p w:rsidR="00000000" w:rsidDel="00000000" w:rsidP="00000000" w:rsidRDefault="00000000" w:rsidRPr="00000000" w14:paraId="0000017E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84.33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6.49;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число степеней свободы при определении ошибки:</w:t>
      </w:r>
    </w:p>
    <w:p w:rsidR="00000000" w:rsidDel="00000000" w:rsidP="00000000" w:rsidRDefault="00000000" w:rsidRPr="00000000" w14:paraId="00000180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Проверка гипотез:</w:t>
      </w:r>
    </w:p>
    <w:p w:rsidR="00000000" w:rsidDel="00000000" w:rsidP="00000000" w:rsidRDefault="00000000" w:rsidRPr="00000000" w14:paraId="00000182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10.28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183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  <w:br w:type="textWrapping"/>
      </w:r>
    </w:p>
    <w:p w:rsidR="00000000" w:rsidDel="00000000" w:rsidP="00000000" w:rsidRDefault="00000000" w:rsidRPr="00000000" w14:paraId="00000184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8.32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185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  <w:br w:type="textWrapping"/>
      </w:r>
    </w:p>
    <w:p w:rsidR="00000000" w:rsidDel="00000000" w:rsidP="00000000" w:rsidRDefault="00000000" w:rsidRPr="00000000" w14:paraId="00000186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1.45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v1=4;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187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</w:t>
      </w:r>
    </w:p>
    <w:p w:rsidR="00000000" w:rsidDel="00000000" w:rsidP="00000000" w:rsidRDefault="00000000" w:rsidRPr="00000000" w14:paraId="0000018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Наблюдаемые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отклоняется, т.е. привлекательность работы в организации зависит  от месторасположения и/или зарплаты.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numPr>
          <w:ilvl w:val="0"/>
          <w:numId w:val="18"/>
        </w:numPr>
        <w:ind w:left="1440" w:hanging="360"/>
      </w:pPr>
      <w:bookmarkStart w:colFirst="0" w:colLast="0" w:name="_heading=h.n8r8t2mo314v" w:id="6"/>
      <w:bookmarkEnd w:id="6"/>
      <w:r w:rsidDel="00000000" w:rsidR="00000000" w:rsidRPr="00000000">
        <w:rPr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18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18D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зависимости привлекательности работы в организации  от месторасположения и/или зарплаты.</w:t>
      </w:r>
    </w:p>
    <w:p w:rsidR="00000000" w:rsidDel="00000000" w:rsidP="00000000" w:rsidRDefault="00000000" w:rsidRPr="00000000" w14:paraId="0000018E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19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35.0" w:type="dxa"/>
        <w:jc w:val="left"/>
        <w:tblInd w:w="-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215"/>
        <w:gridCol w:w="660"/>
        <w:gridCol w:w="750"/>
        <w:gridCol w:w="735"/>
        <w:gridCol w:w="735"/>
        <w:gridCol w:w="675"/>
        <w:gridCol w:w="675"/>
        <w:gridCol w:w="675"/>
        <w:gridCol w:w="675"/>
        <w:gridCol w:w="675"/>
        <w:gridCol w:w="675"/>
        <w:gridCol w:w="1230"/>
        <w:tblGridChange w:id="0">
          <w:tblGrid>
            <w:gridCol w:w="960"/>
            <w:gridCol w:w="1215"/>
            <w:gridCol w:w="660"/>
            <w:gridCol w:w="750"/>
            <w:gridCol w:w="735"/>
            <w:gridCol w:w="735"/>
            <w:gridCol w:w="675"/>
            <w:gridCol w:w="675"/>
            <w:gridCol w:w="675"/>
            <w:gridCol w:w="675"/>
            <w:gridCol w:w="675"/>
            <w:gridCol w:w="675"/>
            <w:gridCol w:w="12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m</m:t>
                  </m:r>
                </m:sub>
              </m:sSub>
              <m:r>
                <w:rPr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6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gridSpan w:val="2"/>
            <w:vMerge w:val="restart"/>
            <w:tcBorders>
              <w:top w:color="222222" w:space="0" w:sz="4" w:val="single"/>
              <w:lef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4918</w:t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6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222222" w:space="0" w:sz="4" w:val="single"/>
              <w:bottom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904</w:t>
            </w:r>
          </w:p>
        </w:tc>
      </w:tr>
    </w:tbl>
    <w:p w:rsidR="00000000" w:rsidDel="00000000" w:rsidP="00000000" w:rsidRDefault="00000000" w:rsidRPr="00000000" w14:paraId="000001FD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FE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общих эффектов - 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F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вклад в общую сумму, обусловленный различиями в уровнях фактора А или взвешенную сумму квадратов эффектов фактора A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=66,67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вклад в общую сумму, обусловленный различиями в уровнях фактора B или взвешенную сумму квадратов эффектов фактора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3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 взвешенную сумму квадратов взаимодействия уровней фактора A и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5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=37,5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 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проверку вычислений: </w:t>
      </w:r>
    </w:p>
    <w:p w:rsidR="00000000" w:rsidDel="00000000" w:rsidP="00000000" w:rsidRDefault="00000000" w:rsidRPr="00000000" w14:paraId="0000020A">
      <w:pPr>
        <w:ind w:firstLine="0"/>
        <w:rPr/>
      </w:pPr>
      <w:r w:rsidDel="00000000" w:rsidR="00000000" w:rsidRPr="00000000">
        <w:rPr>
          <w:rtl w:val="0"/>
        </w:rPr>
        <w:t xml:space="preserve">Проверим подчиняются ли наши значения основному уравнению двухфакторного дисперсионного анализа:</w:t>
      </w:r>
    </w:p>
    <w:p w:rsidR="00000000" w:rsidDel="00000000" w:rsidP="00000000" w:rsidRDefault="00000000" w:rsidRPr="00000000" w14:paraId="0000020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242,5=66,67+54+37,5+84,33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242,5=242,5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дисперсий и расчет степеней свободы: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общей дисперсии:</w:t>
      </w:r>
    </w:p>
    <w:p w:rsidR="00000000" w:rsidDel="00000000" w:rsidP="00000000" w:rsidRDefault="00000000" w:rsidRPr="00000000" w14:paraId="00000210">
      <w:pPr>
        <w:jc w:val="center"/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242.5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=10,54;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при определении общей дисперсии:</w:t>
      </w:r>
    </w:p>
    <w:p w:rsidR="00000000" w:rsidDel="00000000" w:rsidP="00000000" w:rsidRDefault="00000000" w:rsidRPr="00000000" w14:paraId="00000212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A:</w:t>
      </w:r>
    </w:p>
    <w:p w:rsidR="00000000" w:rsidDel="00000000" w:rsidP="00000000" w:rsidRDefault="00000000" w:rsidRPr="00000000" w14:paraId="00000214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66.67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=66,67;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фактора A:</w:t>
      </w:r>
    </w:p>
    <w:p w:rsidR="00000000" w:rsidDel="00000000" w:rsidP="00000000" w:rsidRDefault="00000000" w:rsidRPr="00000000" w14:paraId="00000216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B:</w:t>
      </w:r>
    </w:p>
    <w:p w:rsidR="00000000" w:rsidDel="00000000" w:rsidP="00000000" w:rsidRDefault="00000000" w:rsidRPr="00000000" w14:paraId="00000218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фактора B:</w:t>
      </w:r>
    </w:p>
    <w:p w:rsidR="00000000" w:rsidDel="00000000" w:rsidP="00000000" w:rsidRDefault="00000000" w:rsidRPr="00000000" w14:paraId="0000021A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A и B:</w:t>
      </w:r>
    </w:p>
    <w:p w:rsidR="00000000" w:rsidDel="00000000" w:rsidP="00000000" w:rsidRDefault="00000000" w:rsidRPr="00000000" w14:paraId="0000021C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=9,38;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взаимодействия фактора A и B:</w:t>
      </w:r>
    </w:p>
    <w:p w:rsidR="00000000" w:rsidDel="00000000" w:rsidP="00000000" w:rsidRDefault="00000000" w:rsidRPr="00000000" w14:paraId="0000021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a-1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b-1</m:t>
            </m:r>
          </m:e>
        </m:d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остаточную оценку дисперсии (дисперсия ошибки):</w:t>
      </w:r>
    </w:p>
    <w:p w:rsidR="00000000" w:rsidDel="00000000" w:rsidP="00000000" w:rsidRDefault="00000000" w:rsidRPr="00000000" w14:paraId="00000220">
      <w:pPr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84.33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6.49;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при определении ошибки:</w:t>
      </w:r>
    </w:p>
    <w:p w:rsidR="00000000" w:rsidDel="00000000" w:rsidP="00000000" w:rsidRDefault="00000000" w:rsidRPr="00000000" w14:paraId="00000222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Проверка гипотез:</w:t>
      </w:r>
    </w:p>
    <w:p w:rsidR="00000000" w:rsidDel="00000000" w:rsidP="00000000" w:rsidRDefault="00000000" w:rsidRPr="00000000" w14:paraId="00000224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10.28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225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  <w:br w:type="textWrapping"/>
      </w:r>
    </w:p>
    <w:p w:rsidR="00000000" w:rsidDel="00000000" w:rsidP="00000000" w:rsidRDefault="00000000" w:rsidRPr="00000000" w14:paraId="00000226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8.32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227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  <w:br w:type="textWrapping"/>
      </w:r>
    </w:p>
    <w:p w:rsidR="00000000" w:rsidDel="00000000" w:rsidP="00000000" w:rsidRDefault="00000000" w:rsidRPr="00000000" w14:paraId="00000228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1.45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v1=4;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229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</w:t>
      </w:r>
    </w:p>
    <w:p w:rsidR="00000000" w:rsidDel="00000000" w:rsidP="00000000" w:rsidRDefault="00000000" w:rsidRPr="00000000" w14:paraId="000002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firstLine="720"/>
        <w:rPr/>
      </w:pPr>
      <w:r w:rsidDel="00000000" w:rsidR="00000000" w:rsidRPr="00000000">
        <w:rPr>
          <w:rtl w:val="0"/>
        </w:rPr>
        <w:t xml:space="preserve">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значит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отклоняется, т.е. привлекательность работы в организации зависит  от месторасположения и/или зарплаты.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22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Сформулируем гипотезу: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зависимости привлекательности работы в организации  от месторасположения и/или зарплаты.</w:t>
      </w:r>
    </w:p>
    <w:p w:rsidR="00000000" w:rsidDel="00000000" w:rsidP="00000000" w:rsidRDefault="00000000" w:rsidRPr="00000000" w14:paraId="0000022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22F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215"/>
        <w:gridCol w:w="660"/>
        <w:gridCol w:w="750"/>
        <w:gridCol w:w="735"/>
        <w:gridCol w:w="735"/>
        <w:gridCol w:w="675"/>
        <w:gridCol w:w="675"/>
        <w:gridCol w:w="675"/>
        <w:gridCol w:w="675"/>
        <w:gridCol w:w="675"/>
        <w:gridCol w:w="675"/>
        <w:gridCol w:w="1230"/>
        <w:tblGridChange w:id="0">
          <w:tblGrid>
            <w:gridCol w:w="960"/>
            <w:gridCol w:w="1215"/>
            <w:gridCol w:w="660"/>
            <w:gridCol w:w="750"/>
            <w:gridCol w:w="735"/>
            <w:gridCol w:w="735"/>
            <w:gridCol w:w="675"/>
            <w:gridCol w:w="675"/>
            <w:gridCol w:w="675"/>
            <w:gridCol w:w="675"/>
            <w:gridCol w:w="675"/>
            <w:gridCol w:w="675"/>
            <w:gridCol w:w="12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m</m:t>
                  </m:r>
                </m:sub>
              </m:sSub>
              <m:r>
                <w:rPr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ijm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222222" w:space="0" w:sz="6" w:val="single"/>
              <w:left w:color="222222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6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gridSpan w:val="2"/>
            <w:vMerge w:val="restart"/>
            <w:tcBorders>
              <w:top w:color="222222" w:space="0" w:sz="4" w:val="single"/>
              <w:lef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22222" w:space="0" w:sz="4" w:val="single"/>
              <w:left w:color="222222" w:space="0" w:sz="4" w:val="single"/>
              <w:right w:color="222222" w:space="0" w:sz="6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4918</w:t>
            </w:r>
          </w:p>
        </w:tc>
        <w:tc>
          <w:tcPr>
            <w:gridSpan w:val="6"/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222222" w:space="0" w:sz="6" w:val="single"/>
              <w:bottom w:color="222222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6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222222" w:space="0" w:sz="4" w:val="single"/>
              <w:bottom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904</w:t>
            </w:r>
          </w:p>
        </w:tc>
      </w:tr>
    </w:tbl>
    <w:p w:rsidR="00000000" w:rsidDel="00000000" w:rsidP="00000000" w:rsidRDefault="00000000" w:rsidRPr="00000000" w14:paraId="0000029C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Вычисление сумм квадратов</w:t>
      </w:r>
    </w:p>
    <w:p w:rsidR="00000000" w:rsidDel="00000000" w:rsidP="00000000" w:rsidRDefault="00000000" w:rsidRPr="00000000" w14:paraId="0000029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Общая сумма квадратов:</w:t>
      </w:r>
    </w:p>
    <w:p w:rsidR="00000000" w:rsidDel="00000000" w:rsidP="00000000" w:rsidRDefault="00000000" w:rsidRPr="00000000" w14:paraId="0000029F">
      <w:pPr>
        <w:ind w:left="0"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=904-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126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r>
          <w:rPr>
            <w:rFonts w:ascii="Cambria Math" w:cs="Cambria Math" w:eastAsia="Cambria Math" w:hAnsi="Cambria Math"/>
          </w:rPr>
          <m:t xml:space="preserve">=242,5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Взвешенная сумма квадратов эффектов факторов А и В (сумма квадратов между группами):</w:t>
      </w:r>
    </w:p>
    <w:p w:rsidR="00000000" w:rsidDel="00000000" w:rsidP="00000000" w:rsidRDefault="00000000" w:rsidRPr="00000000" w14:paraId="000002A1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1849+6889</m:t>
            </m:r>
          </m:e>
        </m:d>
        <m:r>
          <w:rPr>
            <w:rFonts w:ascii="Cambria Math" w:cs="Cambria Math" w:eastAsia="Cambria Math" w:hAnsi="Cambria Math"/>
          </w:rPr>
          <m:t xml:space="preserve">-661,5=66,67;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2025+6561</m:t>
            </m:r>
          </m:e>
        </m:d>
        <m:r>
          <w:rPr>
            <w:rFonts w:ascii="Cambria Math" w:cs="Cambria Math" w:eastAsia="Cambria Math" w:hAnsi="Cambria Math"/>
          </w:rPr>
          <m:t xml:space="preserve">-661,5=54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Взвешенная сумма квадратов взаимодействия уровней факторов А и В или смешанный эффект факторов А и В (сумма квадратов между группами):</w:t>
      </w:r>
    </w:p>
    <w:p w:rsidR="00000000" w:rsidDel="00000000" w:rsidP="00000000" w:rsidRDefault="00000000" w:rsidRPr="00000000" w14:paraId="000002A4">
      <w:pPr>
        <w:ind w:left="0"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=37,5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Ошибка эксперимента (сумма квадратов внутри групп):</w:t>
      </w:r>
    </w:p>
    <w:p w:rsidR="00000000" w:rsidDel="00000000" w:rsidP="00000000" w:rsidRDefault="00000000" w:rsidRPr="00000000" w14:paraId="000002A6">
      <w:pPr>
        <w:ind w:left="0"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=904-819,66=84,33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A8">
      <w:pPr>
        <w:ind w:left="0"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=84,33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Оценка дисперсий</w:t>
      </w:r>
    </w:p>
    <w:p w:rsidR="00000000" w:rsidDel="00000000" w:rsidP="00000000" w:rsidRDefault="00000000" w:rsidRPr="00000000" w14:paraId="000002AA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242,5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=10,54;ν=23;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66,67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=66,67;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=9,38;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84,33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6,49;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Проверка гипотез</w:t>
      </w:r>
    </w:p>
    <w:p w:rsidR="00000000" w:rsidDel="00000000" w:rsidP="00000000" w:rsidRDefault="00000000" w:rsidRPr="00000000" w14:paraId="000002B0">
      <w:pPr>
        <w:ind w:left="0"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66,67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6,49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10,28 , </m:t>
        </m:r>
        <m:r>
          <w:rPr/>
          <m:t xml:space="preserve">(при а=0,05;v1=2; v2=13; F</m:t>
        </m:r>
        <m:r>
          <w:rPr>
            <w:vertAlign w:val="subscript"/>
          </w:rPr>
          <m:t xml:space="preserve">кр</m:t>
        </m:r>
        <m:r>
          <w:rPr/>
          <m:t xml:space="preserve"> = 3,8)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/>
          <m:t xml:space="preserve">, то гипотеза H</m:t>
        </m:r>
        <m:r>
          <w:rPr>
            <w:vertAlign w:val="subscript"/>
          </w:rPr>
          <m:t xml:space="preserve">0 </m:t>
        </m:r>
        <m:r>
          <w:rPr/>
          <m:t xml:space="preserve">отклоняется.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6,49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8,32 , </m:t>
        </m:r>
        <m:r>
          <w:rPr/>
          <m:t xml:space="preserve">(при а=0,05;v1=2; v2=13; F</m:t>
        </m:r>
        <m:r>
          <w:rPr>
            <w:vertAlign w:val="subscript"/>
          </w:rPr>
          <m:t xml:space="preserve">кр</m:t>
        </m:r>
        <m:r>
          <w:rPr/>
          <m:t xml:space="preserve"> = 3,8)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=8,32&gt;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=3,8 </m:t>
        </m:r>
        <m:r>
          <w:rPr/>
          <m:t xml:space="preserve">, то гипотеза H</m:t>
        </m:r>
        <m:r>
          <w:rPr>
            <w:vertAlign w:val="subscript"/>
          </w:rPr>
          <m:t xml:space="preserve">0 </m:t>
        </m:r>
        <m:r>
          <w:rPr/>
          <m:t xml:space="preserve">отклоняется.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9.38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6.49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1,45 , </m:t>
        </m:r>
        <m:r>
          <w:rPr/>
          <m:t xml:space="preserve">(при а=0,05;v1=4; v2=13; F</m:t>
        </m:r>
        <m:r>
          <w:rPr>
            <w:vertAlign w:val="subscript"/>
          </w:rPr>
          <m:t xml:space="preserve">кр</m:t>
        </m:r>
        <m:r>
          <w:rPr/>
          <m:t xml:space="preserve"> = 3,18)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принимается.</w:t>
      </w:r>
    </w:p>
    <w:p w:rsidR="00000000" w:rsidDel="00000000" w:rsidP="00000000" w:rsidRDefault="00000000" w:rsidRPr="00000000" w14:paraId="000002B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Наблюденные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Таким образом, дисперсионный анализ выявил существенное влияние на результативный признак факторов А и В, т.е. привлекательность работы в организации зависит  от месторасположения и/или зарплаты.</w:t>
      </w:r>
    </w:p>
    <w:p w:rsidR="00000000" w:rsidDel="00000000" w:rsidP="00000000" w:rsidRDefault="00000000" w:rsidRPr="00000000" w14:paraId="000002B8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numPr>
          <w:ilvl w:val="0"/>
          <w:numId w:val="9"/>
        </w:numPr>
        <w:ind w:left="787" w:hanging="360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2BA">
      <w:pPr>
        <w:spacing w:after="0" w:line="276" w:lineRule="auto"/>
        <w:ind w:firstLine="72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По итогам индивидуального задания к лабораторной работе №11 по теме «Двухфакторный дисперсионный анализ» можно сделать вывод о том, что мы лучше ознакомились с двухфакторным дисперсионным анализом и научились формулировать и решать задачи с его помощью.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table" w:styleId="af2">
    <w:name w:val="Table Grid"/>
    <w:basedOn w:val="a1"/>
    <w:uiPriority w:val="39"/>
    <w:rsid w:val="004B6F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Rpl1D8EQFZ/mhcNjbAmIcrLdYA==">AMUW2mWrtWXHJkDJsjyvrw7mm/Z1HUI3iSRujJDfwz+L190427XSUCSIXleLwoiOTLZf+yKuSiaWSiR0pERR5JUujubMG0KZIJ5NTFb8d4frjfsbkQZ1QPzXqyKnT/JJ6s7p7qNNbGIAbEN2D6dBCgYIU+gy2o7dlC7XSz4DjSwieYDS8Sbzv4ycIanF7e0GbR8wKitNok1AjDWdmwt35QBiZrNlrOV6Dlb2n6SdSnIgD0UBwSnwIy4=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