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F05D" w14:textId="77777777" w:rsidR="00B24B99" w:rsidRDefault="00B24B99" w:rsidP="00B24B99">
      <w:pPr>
        <w:spacing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114AF9E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>
        <w:rPr>
          <w:rFonts w:eastAsia="Times New Roman"/>
          <w:color w:val="000000"/>
          <w:lang w:eastAsia="ru-RU"/>
        </w:rPr>
        <w:br/>
        <w:t>УЧРЕЖДЕНИЕ ВЫСШЕГО ОБРАЗОВАНИЯ</w:t>
      </w:r>
      <w:r>
        <w:rPr>
          <w:rFonts w:eastAsia="Times New Roman"/>
          <w:color w:val="000000"/>
          <w:lang w:eastAsia="ru-RU"/>
        </w:rPr>
        <w:br/>
        <w:t>«РОССИЙСКИЙ ГОСУДАРСТВЕННЫЙ</w:t>
      </w:r>
      <w:r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0462CBBF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институт информационных технологий и технологического образования</w:t>
      </w:r>
      <w:r>
        <w:rPr>
          <w:rFonts w:eastAsia="Times New Roman"/>
          <w:b/>
          <w:bCs/>
          <w:color w:val="000000"/>
          <w:lang w:eastAsia="ru-RU"/>
        </w:rPr>
        <w:br/>
        <w:t>кафедра информационных технологий и электронного обучения</w:t>
      </w:r>
    </w:p>
    <w:p w14:paraId="5D2F1F4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73CFA5C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Основная профессиональная образовательная программа</w:t>
      </w:r>
      <w:r>
        <w:rPr>
          <w:rFonts w:eastAsia="Times New Roman"/>
          <w:color w:val="000000"/>
          <w:lang w:eastAsia="ru-RU"/>
        </w:rPr>
        <w:br/>
        <w:t>Направление подготовки 09.03.01 Информатика и вычислительная техника</w:t>
      </w:r>
      <w:r>
        <w:rPr>
          <w:rFonts w:eastAsia="Times New Roman"/>
          <w:color w:val="000000"/>
          <w:lang w:eastAsia="ru-RU"/>
        </w:rPr>
        <w:br/>
        <w:t>Направленность (профиль) «Технологии разработки программного обеспечения»</w:t>
      </w:r>
      <w:r>
        <w:rPr>
          <w:rFonts w:eastAsia="Times New Roman"/>
          <w:color w:val="000000"/>
          <w:lang w:eastAsia="ru-RU"/>
        </w:rPr>
        <w:br/>
        <w:t>форма обучения – очная</w:t>
      </w:r>
    </w:p>
    <w:p w14:paraId="0018C6D4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</w:p>
    <w:p w14:paraId="51905136" w14:textId="1C3C0B56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 xml:space="preserve">Лабораторная работа </w:t>
      </w:r>
      <w:r w:rsidR="00A756B7">
        <w:rPr>
          <w:rFonts w:eastAsia="Times New Roman"/>
          <w:b/>
          <w:bCs/>
          <w:color w:val="000000"/>
          <w:lang w:eastAsia="ru-RU"/>
        </w:rPr>
        <w:t>2</w:t>
      </w:r>
      <w:r>
        <w:rPr>
          <w:rFonts w:eastAsia="Times New Roman"/>
          <w:b/>
          <w:bCs/>
          <w:color w:val="000000"/>
          <w:lang w:eastAsia="ru-RU"/>
        </w:rPr>
        <w:br/>
      </w:r>
      <w:r>
        <w:rPr>
          <w:rFonts w:eastAsia="Times New Roman"/>
          <w:color w:val="000000"/>
          <w:lang w:eastAsia="ru-RU"/>
        </w:rPr>
        <w:t>по дисциплине «Электротехнике»</w:t>
      </w:r>
    </w:p>
    <w:p w14:paraId="17716FA4" w14:textId="12CFCF6C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Тема: Исследование </w:t>
      </w:r>
      <w:r w:rsidR="00A756B7">
        <w:rPr>
          <w:rFonts w:eastAsia="Times New Roman"/>
          <w:color w:val="000000"/>
          <w:lang w:eastAsia="ru-RU"/>
        </w:rPr>
        <w:t>явления резонанса напряжений</w:t>
      </w:r>
    </w:p>
    <w:p w14:paraId="2888662D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3AD508DF" w14:textId="6311778D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A6B5C43" w14:textId="77777777" w:rsidR="00A756B7" w:rsidRDefault="00A756B7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36FE173" w14:textId="77777777" w:rsidR="00A756B7" w:rsidRDefault="00A756B7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E8844B9" w14:textId="77777777" w:rsidR="00A756B7" w:rsidRDefault="00A756B7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19C22B34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49003BB6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8FF9C72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121876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E54208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C71D2F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5B6E6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4A2AED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01B7A2D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AB02009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21C9BE5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3986EA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19DA662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39AE07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Санкт-Петербург</w:t>
      </w:r>
    </w:p>
    <w:p w14:paraId="2017D244" w14:textId="77777777" w:rsidR="00A756B7" w:rsidRPr="00B24B99" w:rsidRDefault="00B24B99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2022</w:t>
      </w:r>
      <w:r>
        <w:rPr>
          <w:rFonts w:eastAsia="Times New Roman"/>
          <w:color w:val="000000"/>
          <w:shd w:val="clear" w:color="auto" w:fill="FFFFFF"/>
          <w:lang w:eastAsia="ru-RU"/>
        </w:rPr>
        <w:br w:type="page"/>
      </w:r>
    </w:p>
    <w:p w14:paraId="3CF68B22" w14:textId="77777777" w:rsidR="00A756B7" w:rsidRDefault="00A756B7" w:rsidP="00A756B7">
      <w:pPr>
        <w:shd w:val="clear" w:color="auto" w:fill="auto"/>
        <w:spacing w:after="0" w:line="240" w:lineRule="auto"/>
        <w:ind w:firstLine="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sectPr w:rsidR="00A756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271" w:type="dxa"/>
        <w:tblLook w:val="04A0" w:firstRow="1" w:lastRow="0" w:firstColumn="1" w:lastColumn="0" w:noHBand="0" w:noVBand="1"/>
      </w:tblPr>
      <w:tblGrid>
        <w:gridCol w:w="1225"/>
        <w:gridCol w:w="1227"/>
        <w:gridCol w:w="1227"/>
        <w:gridCol w:w="1227"/>
        <w:gridCol w:w="1231"/>
        <w:gridCol w:w="1227"/>
        <w:gridCol w:w="1227"/>
        <w:gridCol w:w="1227"/>
        <w:gridCol w:w="1227"/>
        <w:gridCol w:w="1226"/>
        <w:gridCol w:w="769"/>
        <w:gridCol w:w="1231"/>
      </w:tblGrid>
      <w:tr w:rsidR="00A756B7" w:rsidRPr="00A756B7" w14:paraId="31343BEB" w14:textId="77777777" w:rsidTr="00A756B7">
        <w:trPr>
          <w:trHeight w:val="328"/>
        </w:trPr>
        <w:tc>
          <w:tcPr>
            <w:tcW w:w="6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A4F3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Измерить</w:t>
            </w:r>
          </w:p>
        </w:tc>
        <w:tc>
          <w:tcPr>
            <w:tcW w:w="69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E135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Вычислить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2EC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A756B7" w:rsidRPr="00A756B7" w14:paraId="254738D6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B860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C, мкФ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29F3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U, B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258B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</w:t>
            </w:r>
            <w:r w:rsidRPr="00A756B7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L</w:t>
            </w: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B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5C7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</w:t>
            </w:r>
            <w:r w:rsidRPr="00A756B7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</w:t>
            </w: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B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F539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I, A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5B1B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Z, Ом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EF99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Z</w:t>
            </w:r>
            <w:r w:rsidRPr="00A756B7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k</w:t>
            </w: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922D8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A756B7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L</w:t>
            </w: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72E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A756B7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</w:t>
            </w: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75F9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S, Ba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9E80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cosφ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869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R, Ом</w:t>
            </w:r>
          </w:p>
        </w:tc>
      </w:tr>
      <w:tr w:rsidR="00A756B7" w:rsidRPr="00A756B7" w14:paraId="1BDDD3C5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30A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3D8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F78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B23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95F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DD2C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B8A8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111,11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E81B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3EC9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318,31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7B71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7D89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7CD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0EFEB6BE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1DE9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3A2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B89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3FF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8A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37BF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104,62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7966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146,15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11DC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FE53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265,26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8150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B053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8CE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68FB0251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5404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F3C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4A3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148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370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4624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75,56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C199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F564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CE61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227,36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B81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9CA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93E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5E8ECFB4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4C6B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2B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DAB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52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637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6AF1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87C7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140,91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E36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EEDB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212,21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2210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AE9E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331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6EF63573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030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CA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36E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FA2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B4B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A46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50,37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1EDC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151,85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884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640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198,94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28F5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2409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CDD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070F6FF6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6B4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197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3EB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E6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83A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770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41,21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D229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47C3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DBB38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187,24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4358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478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36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0274EBF7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6DD2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D2A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194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6CA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C41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918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34,62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D21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148,72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96AB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EDF1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176,84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760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DB99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EDF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0FEF36C0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D092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976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3B8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7C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1CE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DF86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29,35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E8F3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145,65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9BD2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A382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167,53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9898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6,21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E244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E45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13AE1937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4265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839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295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48B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8B9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0D8C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27,92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A231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145,83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189F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62E48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159,15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A556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6,43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C053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3DC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7F67F319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A0F7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78A8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A29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5C3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9B7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3818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28,51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FE33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144,68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C571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402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BFB1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CFED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7B9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2FAD7FE1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607B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8DE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CD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2AA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772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BD4C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31,16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E076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148,84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E7D4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86FC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144,69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5B3A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9357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B2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5E627914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FAF1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8CE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670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83B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DD9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1BDD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1F6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147,50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B5A2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AE4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138,40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0123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8761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389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0BC2E7AD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BE30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F6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B69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D9B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A02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3F1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37,50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862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869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05BC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132,63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E6E2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041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C15C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1E2C702A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E981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AD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897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0EB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773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652F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43,55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8AD9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151,61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90D2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A1C5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122,43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DC54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59A1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57A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19C3D2BB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7C95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A60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61A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BD4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22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90D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48,21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E4F7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A528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F2E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113,68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D33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AD720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CC2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23929308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80C4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D58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8E6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4C9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775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21E5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2575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D110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E9E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106,10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1160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65BDD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00E7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  <w:tr w:rsidR="00A756B7" w:rsidRPr="00A756B7" w14:paraId="2F070FD1" w14:textId="77777777" w:rsidTr="00A756B7">
        <w:trPr>
          <w:trHeight w:val="32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F702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32,00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3E44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9616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AC9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44EB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D552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77EA3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154,55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F081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151,58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47509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99,47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A8A9A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3EF7E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56B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7B6F" w14:textId="77777777" w:rsidR="00A756B7" w:rsidRPr="00A756B7" w:rsidRDefault="00A756B7" w:rsidP="00A756B7">
            <w:pPr>
              <w:shd w:val="clear" w:color="auto" w:fill="auto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56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29,016</w:t>
            </w:r>
          </w:p>
        </w:tc>
      </w:tr>
    </w:tbl>
    <w:p w14:paraId="29C69A6A" w14:textId="77777777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</w:p>
    <w:p w14:paraId="594478C2" w14:textId="12C37575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  <w:sectPr w:rsidR="00A756B7" w:rsidSect="00A756B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eastAsia="Times New Roman"/>
          <w:color w:val="000000"/>
          <w:shd w:val="clear" w:color="auto" w:fill="FFFFFF"/>
          <w:lang w:eastAsia="ru-RU"/>
        </w:rPr>
        <w:t>Таблица 1</w:t>
      </w:r>
    </w:p>
    <w:p w14:paraId="7C6FB11C" w14:textId="77777777" w:rsidR="00A756B7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lastRenderedPageBreak/>
        <w:t xml:space="preserve">В данном случае мы считаем, что катушка не является идеальной, а значит имеет некоторое активное сопротивление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R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>.</w:t>
      </w:r>
    </w:p>
    <w:p w14:paraId="63EA77BB" w14:textId="01C236A0" w:rsidR="00A756B7" w:rsidRPr="00E87D02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 xml:space="preserve"> при резонансе</m:t>
        </m:r>
      </m:oMath>
      <w:r w:rsidRPr="00E87D02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eastAsia="ru-RU"/>
        </w:rPr>
        <w:t>–</w:t>
      </w:r>
      <w:r w:rsidRPr="00E87D02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eastAsia="ru-RU"/>
        </w:rPr>
        <w:t>индуктивное сопротивление</w:t>
      </w:r>
    </w:p>
    <w:p w14:paraId="350024D0" w14:textId="77777777" w:rsidR="00A756B7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C</m:t>
                </m:r>
              </m:sub>
            </m:sSub>
          </m:den>
        </m:f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емкостное сопротивление</w:t>
      </w:r>
    </w:p>
    <w:p w14:paraId="40874774" w14:textId="7648FBB4" w:rsidR="00A756B7" w:rsidRPr="00A756B7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L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I</m:t>
            </m:r>
          </m:den>
        </m:f>
      </m:oMath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– </w:t>
      </w:r>
      <w:r>
        <w:rPr>
          <w:rFonts w:eastAsia="Times New Roman"/>
          <w:color w:val="000000"/>
          <w:shd w:val="clear" w:color="auto" w:fill="FFFFFF"/>
          <w:lang w:eastAsia="ru-RU"/>
        </w:rPr>
        <w:t>полное сопротивление катушки</w:t>
      </w:r>
    </w:p>
    <w:p w14:paraId="61911E45" w14:textId="7424E785" w:rsidR="00A756B7" w:rsidRPr="00E87D02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φ</m:t>
            </m:r>
          </m:e>
        </m:func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R</m:t>
        </m:r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/</m:t>
        </m:r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Z</m:t>
        </m:r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косинус отклонения</w:t>
      </w:r>
    </w:p>
    <w:p w14:paraId="17432DB0" w14:textId="77777777" w:rsidR="00A756B7" w:rsidRPr="00E87D02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Q=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rad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реактивная мощность</w:t>
      </w:r>
    </w:p>
    <w:p w14:paraId="6E23003A" w14:textId="77777777" w:rsidR="000F13B5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S=I*U</m:t>
        </m:r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полная мощность</w:t>
      </w:r>
    </w:p>
    <w:p w14:paraId="4FCC994C" w14:textId="77777777" w:rsidR="000F13B5" w:rsidRPr="00063547" w:rsidRDefault="000F13B5" w:rsidP="000F13B5">
      <w:pPr>
        <w:shd w:val="clear" w:color="auto" w:fill="auto"/>
        <w:spacing w:line="259" w:lineRule="auto"/>
        <w:ind w:firstLine="709"/>
        <w:jc w:val="left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  <w:r w:rsidRPr="00063547">
        <w:rPr>
          <w:rFonts w:eastAsia="Times New Roman"/>
          <w:b/>
          <w:bCs/>
          <w:color w:val="000000"/>
          <w:shd w:val="clear" w:color="auto" w:fill="FFFFFF"/>
          <w:lang w:eastAsia="ru-RU"/>
        </w:rPr>
        <w:t xml:space="preserve">Вывод: </w:t>
      </w:r>
    </w:p>
    <w:p w14:paraId="7721C58F" w14:textId="77777777" w:rsidR="000F13B5" w:rsidRDefault="000F13B5" w:rsidP="000F13B5">
      <w:pPr>
        <w:pStyle w:val="a3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Была изучена вся необходимая теория</w:t>
      </w:r>
    </w:p>
    <w:p w14:paraId="65A4EDB1" w14:textId="77777777" w:rsidR="000F13B5" w:rsidRDefault="000F13B5" w:rsidP="000F13B5">
      <w:pPr>
        <w:pStyle w:val="a3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Проведен эксперимент и проведены замеры</w:t>
      </w:r>
    </w:p>
    <w:p w14:paraId="033F8B20" w14:textId="6CE9F469" w:rsidR="000F13B5" w:rsidRDefault="000F13B5" w:rsidP="000F13B5">
      <w:pPr>
        <w:pStyle w:val="a3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Вычислены полное, емкостное, индуктивное и </w:t>
      </w:r>
      <w:r>
        <w:rPr>
          <w:rFonts w:eastAsia="Times New Roman"/>
          <w:color w:val="000000"/>
          <w:shd w:val="clear" w:color="auto" w:fill="FFFFFF"/>
          <w:lang w:eastAsia="ru-RU"/>
        </w:rPr>
        <w:t>полное индуктивное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 сопротивления, а также полн</w:t>
      </w:r>
      <w:r>
        <w:rPr>
          <w:rFonts w:eastAsia="Times New Roman"/>
          <w:color w:val="000000"/>
          <w:shd w:val="clear" w:color="auto" w:fill="FFFFFF"/>
          <w:lang w:eastAsia="ru-RU"/>
        </w:rPr>
        <w:t>ая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 мощност</w:t>
      </w:r>
      <w:r>
        <w:rPr>
          <w:rFonts w:eastAsia="Times New Roman"/>
          <w:color w:val="000000"/>
          <w:shd w:val="clear" w:color="auto" w:fill="FFFFFF"/>
          <w:lang w:eastAsia="ru-RU"/>
        </w:rPr>
        <w:t>ь</w:t>
      </w:r>
      <w:r>
        <w:rPr>
          <w:rFonts w:eastAsia="Times New Roman"/>
          <w:color w:val="000000"/>
          <w:shd w:val="clear" w:color="auto" w:fill="FFFFFF"/>
          <w:lang w:eastAsia="ru-RU"/>
        </w:rPr>
        <w:t>, косинус угла отклонения</w:t>
      </w:r>
    </w:p>
    <w:p w14:paraId="36F983E7" w14:textId="436D4F47" w:rsidR="000F13B5" w:rsidRPr="00063547" w:rsidRDefault="000F13B5" w:rsidP="000F13B5">
      <w:pPr>
        <w:pStyle w:val="a3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Изучено явление резонанса. В результате лабораторной работы резонанс был получен примерно в диапазоне 19-21 мкФ, так как косинус ближе всего к единице и наблюдается наибольшее значение тока.</w:t>
      </w:r>
    </w:p>
    <w:p w14:paraId="7D78F1F6" w14:textId="51A97CBB" w:rsidR="00A756B7" w:rsidRDefault="00A756B7" w:rsidP="00A756B7">
      <w:p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br w:type="page"/>
      </w:r>
    </w:p>
    <w:p w14:paraId="34EE1901" w14:textId="05392CD1" w:rsidR="007E074F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107410" wp14:editId="02D47A0E">
            <wp:extent cx="4175760" cy="2415540"/>
            <wp:effectExtent l="0" t="0" r="1524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58EF7F-6145-4B3F-9B5E-42A180537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B662C0" w14:textId="75E6358B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Рисунок 1 – зависимость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Z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от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C</w:t>
      </w:r>
    </w:p>
    <w:p w14:paraId="002095DF" w14:textId="77777777" w:rsidR="00A756B7" w:rsidRP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</w:p>
    <w:p w14:paraId="1380A907" w14:textId="210A098D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91D28E9" wp14:editId="0EB73F73">
            <wp:extent cx="4572000" cy="2636520"/>
            <wp:effectExtent l="0" t="0" r="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3747C0A-6E6E-35CD-E8CB-0E25BD50DC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ED41BA" w14:textId="4A9AF3AA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Рисунок 2 – зависимость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I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от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C</w:t>
      </w:r>
    </w:p>
    <w:p w14:paraId="22B734F2" w14:textId="77777777" w:rsidR="00A756B7" w:rsidRP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</w:p>
    <w:p w14:paraId="6E328559" w14:textId="7B3B8C15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67A03DB" wp14:editId="01F2B6B7">
            <wp:extent cx="5044440" cy="2842260"/>
            <wp:effectExtent l="0" t="0" r="3810" b="15240"/>
            <wp:docPr id="3" name="Диаграмма 3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C87C6C34-1A72-436E-B62B-EF70951E77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66F58A" w14:textId="0B16BFC3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Рисунок 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>3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 – зависимость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U</w:t>
      </w:r>
      <w:r w:rsidRPr="00A756B7">
        <w:rPr>
          <w:rFonts w:eastAsia="Times New Roman"/>
          <w:color w:val="000000"/>
          <w:sz w:val="16"/>
          <w:szCs w:val="16"/>
          <w:shd w:val="clear" w:color="auto" w:fill="FFFFFF"/>
          <w:lang w:val="en-US" w:eastAsia="ru-RU"/>
        </w:rPr>
        <w:t>C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b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U</w:t>
      </w:r>
      <w:r w:rsidRPr="00A756B7">
        <w:rPr>
          <w:rFonts w:eastAsia="Times New Roman"/>
          <w:color w:val="000000"/>
          <w:sz w:val="16"/>
          <w:szCs w:val="16"/>
          <w:shd w:val="clear" w:color="auto" w:fill="FFFFFF"/>
          <w:lang w:val="en-US" w:eastAsia="ru-RU"/>
        </w:rPr>
        <w:t>L</w:t>
      </w:r>
      <w:r w:rsidRPr="00A756B7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от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C</w:t>
      </w:r>
    </w:p>
    <w:p w14:paraId="17246A01" w14:textId="7CBC3007" w:rsid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8B88BC" wp14:editId="36096871">
            <wp:extent cx="4572000" cy="2636520"/>
            <wp:effectExtent l="0" t="0" r="0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3DDD66C-0441-4E2F-964F-761A40E95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3233FF" w14:textId="350112C0" w:rsidR="00A756B7" w:rsidRPr="00A756B7" w:rsidRDefault="00A756B7" w:rsidP="00A756B7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Рисунок 4 – зависимость </w:t>
      </w:r>
      <w:r w:rsidRPr="00A756B7">
        <w:rPr>
          <w:rFonts w:eastAsia="Times New Roman"/>
          <w:color w:val="000000"/>
          <w:shd w:val="clear" w:color="auto" w:fill="FFFFFF"/>
          <w:lang w:val="en-US" w:eastAsia="ru-RU"/>
        </w:rPr>
        <w:t>cos</w:t>
      </w:r>
      <w:r w:rsidRPr="00A756B7">
        <w:rPr>
          <w:rFonts w:eastAsia="Times New Roman"/>
          <w:color w:val="000000"/>
          <w:shd w:val="clear" w:color="auto" w:fill="FFFFFF"/>
          <w:lang w:val="el-GR" w:eastAsia="ru-RU"/>
        </w:rPr>
        <w:t>φ</w:t>
      </w:r>
      <w:r>
        <w:rPr>
          <w:rFonts w:eastAsia="Times New Roman"/>
          <w:color w:val="000000"/>
          <w:shd w:val="clear" w:color="auto" w:fill="FFFFFF"/>
          <w:lang w:eastAsia="ru-RU"/>
        </w:rPr>
        <w:t xml:space="preserve"> от С</w:t>
      </w:r>
    </w:p>
    <w:sectPr w:rsidR="00A756B7" w:rsidRPr="00A75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05EE"/>
    <w:multiLevelType w:val="hybridMultilevel"/>
    <w:tmpl w:val="78B4F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106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9"/>
    <w:rsid w:val="000F13B5"/>
    <w:rsid w:val="00442A19"/>
    <w:rsid w:val="007E074F"/>
    <w:rsid w:val="00A756B7"/>
    <w:rsid w:val="00B24B99"/>
    <w:rsid w:val="00E14C0B"/>
    <w:rsid w:val="00F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328"/>
  <w15:chartTrackingRefBased/>
  <w15:docId w15:val="{FF185CD8-71A4-426A-A545-9BE25248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99"/>
    <w:pPr>
      <w:shd w:val="clear" w:color="auto" w:fill="FFFFFF"/>
      <w:spacing w:line="256" w:lineRule="auto"/>
      <w:ind w:firstLine="851"/>
      <w:jc w:val="both"/>
    </w:pPr>
    <w:rPr>
      <w:rFonts w:ascii="Times New Roman" w:hAnsi="Times New Roman" w:cs="Times New Roman"/>
      <w:color w:val="202122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\Downloads\&#1051;&#1072;&#1073;&#1086;&#1088;&#1072;&#1090;&#1086;&#1088;&#1085;&#1072;&#1103;%20&#1088;&#1072;&#1073;&#1086;&#1090;&#1072;%201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\Downloads\&#1051;&#1072;&#1073;&#1086;&#1088;&#1072;&#1090;&#1086;&#1088;&#1085;&#1072;&#1103;%20&#1088;&#1072;&#1073;&#1086;&#1090;&#1072;%201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gor\Downloads\&#1051;&#1072;&#1073;&#1086;&#1088;&#1072;&#1090;&#1086;&#1088;&#1085;&#1072;&#1103;%20&#1088;&#1072;&#1073;&#1086;&#1090;&#1072;%201.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\Downloads\&#1051;&#1072;&#1073;&#1086;&#1088;&#1072;&#1090;&#1086;&#1088;&#1085;&#1072;&#1103;%20&#1088;&#1072;&#1073;&#1086;&#1090;&#1072;%201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 = f(C)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Лист1!$F$3:$F$19</c:f>
              <c:numCache>
                <c:formatCode>0.00</c:formatCode>
                <c:ptCount val="17"/>
                <c:pt idx="0">
                  <c:v>151.11111111111111</c:v>
                </c:pt>
                <c:pt idx="1">
                  <c:v>104.61538461538461</c:v>
                </c:pt>
                <c:pt idx="2">
                  <c:v>75.555555555555557</c:v>
                </c:pt>
                <c:pt idx="3">
                  <c:v>61.818181818181813</c:v>
                </c:pt>
                <c:pt idx="4">
                  <c:v>50.370370370370367</c:v>
                </c:pt>
                <c:pt idx="5">
                  <c:v>41.212121212121211</c:v>
                </c:pt>
                <c:pt idx="6">
                  <c:v>34.615384615384613</c:v>
                </c:pt>
                <c:pt idx="7">
                  <c:v>29.34782608695652</c:v>
                </c:pt>
                <c:pt idx="8">
                  <c:v>27.916666666666668</c:v>
                </c:pt>
                <c:pt idx="9">
                  <c:v>28.510638297872344</c:v>
                </c:pt>
                <c:pt idx="10">
                  <c:v>31.162790697674421</c:v>
                </c:pt>
                <c:pt idx="11">
                  <c:v>33.5</c:v>
                </c:pt>
                <c:pt idx="12">
                  <c:v>37.5</c:v>
                </c:pt>
                <c:pt idx="13">
                  <c:v>43.548387096774192</c:v>
                </c:pt>
                <c:pt idx="14">
                  <c:v>48.214285714285708</c:v>
                </c:pt>
                <c:pt idx="15">
                  <c:v>54</c:v>
                </c:pt>
                <c:pt idx="16">
                  <c:v>61.818181818181813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61-46E8-ADDD-6CCB2AAA2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156351"/>
        <c:axId val="295157311"/>
      </c:scatterChart>
      <c:valAx>
        <c:axId val="295156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7311"/>
        <c:crosses val="autoZero"/>
        <c:crossBetween val="midCat"/>
      </c:valAx>
      <c:valAx>
        <c:axId val="29515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6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 = f(C)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Лист1!$E$3:$E$19</c:f>
              <c:numCache>
                <c:formatCode>General</c:formatCode>
                <c:ptCount val="17"/>
                <c:pt idx="0">
                  <c:v>0.09</c:v>
                </c:pt>
                <c:pt idx="1">
                  <c:v>0.13</c:v>
                </c:pt>
                <c:pt idx="2">
                  <c:v>0.18</c:v>
                </c:pt>
                <c:pt idx="3">
                  <c:v>0.22</c:v>
                </c:pt>
                <c:pt idx="4">
                  <c:v>0.27</c:v>
                </c:pt>
                <c:pt idx="5">
                  <c:v>0.33</c:v>
                </c:pt>
                <c:pt idx="6">
                  <c:v>0.39</c:v>
                </c:pt>
                <c:pt idx="7">
                  <c:v>0.46</c:v>
                </c:pt>
                <c:pt idx="8">
                  <c:v>0.48</c:v>
                </c:pt>
                <c:pt idx="9">
                  <c:v>0.47</c:v>
                </c:pt>
                <c:pt idx="10">
                  <c:v>0.43</c:v>
                </c:pt>
                <c:pt idx="11">
                  <c:v>0.4</c:v>
                </c:pt>
                <c:pt idx="12">
                  <c:v>0.36</c:v>
                </c:pt>
                <c:pt idx="13">
                  <c:v>0.31</c:v>
                </c:pt>
                <c:pt idx="14">
                  <c:v>0.28000000000000003</c:v>
                </c:pt>
                <c:pt idx="15">
                  <c:v>0.25</c:v>
                </c:pt>
                <c:pt idx="16">
                  <c:v>0.22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A-4A98-990A-8D83A91F6F22}"/>
            </c:ext>
          </c:extLst>
        </c:ser>
        <c:ser>
          <c:idx val="0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Лист1!$E$3:$E$19</c:f>
              <c:numCache>
                <c:formatCode>General</c:formatCode>
                <c:ptCount val="17"/>
                <c:pt idx="0">
                  <c:v>0.09</c:v>
                </c:pt>
                <c:pt idx="1">
                  <c:v>0.13</c:v>
                </c:pt>
                <c:pt idx="2">
                  <c:v>0.18</c:v>
                </c:pt>
                <c:pt idx="3">
                  <c:v>0.22</c:v>
                </c:pt>
                <c:pt idx="4">
                  <c:v>0.27</c:v>
                </c:pt>
                <c:pt idx="5">
                  <c:v>0.33</c:v>
                </c:pt>
                <c:pt idx="6">
                  <c:v>0.39</c:v>
                </c:pt>
                <c:pt idx="7">
                  <c:v>0.46</c:v>
                </c:pt>
                <c:pt idx="8">
                  <c:v>0.48</c:v>
                </c:pt>
                <c:pt idx="9">
                  <c:v>0.47</c:v>
                </c:pt>
                <c:pt idx="10">
                  <c:v>0.43</c:v>
                </c:pt>
                <c:pt idx="11">
                  <c:v>0.4</c:v>
                </c:pt>
                <c:pt idx="12">
                  <c:v>0.36</c:v>
                </c:pt>
                <c:pt idx="13">
                  <c:v>0.31</c:v>
                </c:pt>
                <c:pt idx="14">
                  <c:v>0.28000000000000003</c:v>
                </c:pt>
                <c:pt idx="15">
                  <c:v>0.25</c:v>
                </c:pt>
                <c:pt idx="16">
                  <c:v>0.22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A-4A98-990A-8D83A91F6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156351"/>
        <c:axId val="295157311"/>
      </c:scatterChart>
      <c:valAx>
        <c:axId val="295156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7311"/>
        <c:crosses val="autoZero"/>
        <c:crossBetween val="midCat"/>
      </c:valAx>
      <c:valAx>
        <c:axId val="29515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6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ru-RU"/>
              <a:t>С</a:t>
            </a:r>
            <a:r>
              <a:rPr lang="en-US"/>
              <a:t> = f(C), UL = f(C)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1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Лист1!$C$3:$C$19</c:f>
              <c:numCache>
                <c:formatCode>General</c:formatCode>
                <c:ptCount val="17"/>
                <c:pt idx="0">
                  <c:v>10</c:v>
                </c:pt>
                <c:pt idx="1">
                  <c:v>19</c:v>
                </c:pt>
                <c:pt idx="2">
                  <c:v>27</c:v>
                </c:pt>
                <c:pt idx="3">
                  <c:v>31</c:v>
                </c:pt>
                <c:pt idx="4">
                  <c:v>41</c:v>
                </c:pt>
                <c:pt idx="5">
                  <c:v>50</c:v>
                </c:pt>
                <c:pt idx="6">
                  <c:v>58</c:v>
                </c:pt>
                <c:pt idx="7">
                  <c:v>67</c:v>
                </c:pt>
                <c:pt idx="8">
                  <c:v>70</c:v>
                </c:pt>
                <c:pt idx="9">
                  <c:v>68</c:v>
                </c:pt>
                <c:pt idx="10">
                  <c:v>64</c:v>
                </c:pt>
                <c:pt idx="11">
                  <c:v>59</c:v>
                </c:pt>
                <c:pt idx="12">
                  <c:v>54</c:v>
                </c:pt>
                <c:pt idx="13">
                  <c:v>47</c:v>
                </c:pt>
                <c:pt idx="14">
                  <c:v>42</c:v>
                </c:pt>
                <c:pt idx="15">
                  <c:v>37</c:v>
                </c:pt>
                <c:pt idx="16">
                  <c:v>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69-4FC0-BC52-DC90B905067E}"/>
            </c:ext>
          </c:extLst>
        </c:ser>
        <c:ser>
          <c:idx val="0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Лист1!$D$3:$D$19</c:f>
              <c:numCache>
                <c:formatCode>General</c:formatCode>
                <c:ptCount val="17"/>
                <c:pt idx="0">
                  <c:v>26</c:v>
                </c:pt>
                <c:pt idx="1">
                  <c:v>32</c:v>
                </c:pt>
                <c:pt idx="2">
                  <c:v>39</c:v>
                </c:pt>
                <c:pt idx="3">
                  <c:v>45</c:v>
                </c:pt>
                <c:pt idx="4">
                  <c:v>51</c:v>
                </c:pt>
                <c:pt idx="5">
                  <c:v>58</c:v>
                </c:pt>
                <c:pt idx="6">
                  <c:v>65</c:v>
                </c:pt>
                <c:pt idx="7">
                  <c:v>70</c:v>
                </c:pt>
                <c:pt idx="8">
                  <c:v>70</c:v>
                </c:pt>
                <c:pt idx="9">
                  <c:v>65</c:v>
                </c:pt>
                <c:pt idx="10">
                  <c:v>58</c:v>
                </c:pt>
                <c:pt idx="11">
                  <c:v>50</c:v>
                </c:pt>
                <c:pt idx="12">
                  <c:v>44</c:v>
                </c:pt>
                <c:pt idx="13">
                  <c:v>36</c:v>
                </c:pt>
                <c:pt idx="14">
                  <c:v>30</c:v>
                </c:pt>
                <c:pt idx="15">
                  <c:v>25</c:v>
                </c:pt>
                <c:pt idx="16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69-4FC0-BC52-DC90B9050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250273"/>
        <c:axId val="1883129423"/>
      </c:scatterChart>
      <c:valAx>
        <c:axId val="103925027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3129423"/>
        <c:crosses val="autoZero"/>
        <c:crossBetween val="midCat"/>
      </c:valAx>
      <c:valAx>
        <c:axId val="188312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925027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</a:t>
            </a:r>
            <a:r>
              <a:rPr lang="el-GR"/>
              <a:t>φ</a:t>
            </a:r>
            <a:r>
              <a:rPr lang="en-US"/>
              <a:t> = f(C)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Лист1!$A$3:$A$19</c:f>
              <c:numCache>
                <c:formatCode>0.00</c:formatCode>
                <c:ptCount val="1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xVal>
          <c:yVal>
            <c:numRef>
              <c:f>Лист1!$K$3:$K$19</c:f>
              <c:numCache>
                <c:formatCode>0.00</c:formatCode>
                <c:ptCount val="17"/>
                <c:pt idx="0">
                  <c:v>0.19201766843620022</c:v>
                </c:pt>
                <c:pt idx="1">
                  <c:v>0.2773588544078448</c:v>
                </c:pt>
                <c:pt idx="2">
                  <c:v>0.38403533687240043</c:v>
                </c:pt>
                <c:pt idx="3">
                  <c:v>0.46937652284404507</c:v>
                </c:pt>
                <c:pt idx="4">
                  <c:v>0.57605300530860071</c:v>
                </c:pt>
                <c:pt idx="5">
                  <c:v>0.70406478426606756</c:v>
                </c:pt>
                <c:pt idx="6">
                  <c:v>0.83824009332148652</c:v>
                </c:pt>
                <c:pt idx="7">
                  <c:v>0.98869344340483023</c:v>
                </c:pt>
                <c:pt idx="8">
                  <c:v>1.0393792201919694</c:v>
                </c:pt>
                <c:pt idx="9">
                  <c:v>1.0177254864379699</c:v>
                </c:pt>
                <c:pt idx="10">
                  <c:v>0.93111055142197252</c:v>
                </c:pt>
                <c:pt idx="11">
                  <c:v>0.86614935015997452</c:v>
                </c:pt>
                <c:pt idx="12">
                  <c:v>0.77376008614291059</c:v>
                </c:pt>
                <c:pt idx="13">
                  <c:v>0.66629340751195076</c:v>
                </c:pt>
                <c:pt idx="14">
                  <c:v>0.60181340033337494</c:v>
                </c:pt>
                <c:pt idx="15">
                  <c:v>0.537333393154799</c:v>
                </c:pt>
                <c:pt idx="16">
                  <c:v>0.46937652284404507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67-4B25-94BE-FC535BF42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156351"/>
        <c:axId val="295157311"/>
      </c:scatterChart>
      <c:valAx>
        <c:axId val="295156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7311"/>
        <c:crosses val="autoZero"/>
        <c:crossBetween val="midCat"/>
      </c:valAx>
      <c:valAx>
        <c:axId val="29515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56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0C62-B87B-48A2-B48E-8A11701D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2023-04-26T10:25:00Z</dcterms:created>
  <dcterms:modified xsi:type="dcterms:W3CDTF">2023-04-26T11:21:00Z</dcterms:modified>
</cp:coreProperties>
</file>