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808B" w14:textId="77777777" w:rsidR="008F6CE2" w:rsidRDefault="00DA488C">
      <w:pPr>
        <w:spacing w:before="1200" w:after="200"/>
        <w:jc w:val="center"/>
      </w:pPr>
      <w:r>
        <w:rPr>
          <w:b/>
          <w:bCs/>
          <w:color w:val="1F3864"/>
          <w:sz w:val="32"/>
          <w:szCs w:val="32"/>
        </w:rPr>
        <w:t>PERTE VEC — Primera Convocatoria</w:t>
      </w:r>
    </w:p>
    <w:p w14:paraId="2B4C2F16" w14:textId="77777777" w:rsidR="008F6CE2" w:rsidRDefault="00DA488C">
      <w:pPr>
        <w:spacing w:after="200"/>
        <w:jc w:val="center"/>
      </w:pPr>
      <w:r>
        <w:rPr>
          <w:b/>
          <w:bCs/>
          <w:color w:val="1F3864"/>
          <w:sz w:val="40"/>
          <w:szCs w:val="40"/>
        </w:rPr>
        <w:t>Petición de extracción SABI — Pool de donantes</w:t>
      </w:r>
    </w:p>
    <w:p w14:paraId="24B7299F" w14:textId="77777777" w:rsidR="008F6CE2" w:rsidRDefault="00DA488C">
      <w:pPr>
        <w:spacing w:after="800"/>
        <w:jc w:val="center"/>
      </w:pPr>
      <w:r>
        <w:rPr>
          <w:i/>
          <w:iCs/>
          <w:color w:val="595959"/>
          <w:sz w:val="26"/>
          <w:szCs w:val="26"/>
        </w:rPr>
        <w:t>Versión 5 — Filtros consolidados definitivos</w:t>
      </w:r>
    </w:p>
    <w:p w14:paraId="21C48F4E" w14:textId="77777777" w:rsidR="008F6CE2" w:rsidRDefault="00DA488C">
      <w:pPr>
        <w:spacing w:after="120"/>
        <w:jc w:val="center"/>
      </w:pPr>
      <w:r>
        <w:t>Evaluación de impacto para la Comisión Europea</w:t>
      </w:r>
    </w:p>
    <w:p w14:paraId="0CBA7550" w14:textId="77777777" w:rsidR="008F6CE2" w:rsidRDefault="00DA488C">
      <w:pPr>
        <w:spacing w:after="120"/>
        <w:jc w:val="center"/>
      </w:pPr>
      <w:r>
        <w:t>Equipo ACAP — Asesores y Consultores en Administraciones Públicas</w:t>
      </w:r>
    </w:p>
    <w:p w14:paraId="68332699" w14:textId="77777777" w:rsidR="008F6CE2" w:rsidRDefault="00DA488C">
      <w:pPr>
        <w:spacing w:after="600"/>
        <w:jc w:val="center"/>
      </w:pPr>
      <w:r>
        <w:rPr>
          <w:color w:val="595959"/>
        </w:rPr>
        <w:t>Fecha: 19 de abril de 2026</w:t>
      </w:r>
    </w:p>
    <w:p w14:paraId="0D5C9FB1" w14:textId="77777777" w:rsidR="008F6CE2" w:rsidRDefault="00DA488C">
      <w:pPr>
        <w:pStyle w:val="Ttulo1"/>
      </w:pPr>
      <w:r>
        <w:t>1. Objeto de la petición</w:t>
      </w:r>
    </w:p>
    <w:p w14:paraId="3566F031" w14:textId="77777777" w:rsidR="008F6CE2" w:rsidRDefault="00DA488C">
      <w:pPr>
        <w:spacing w:after="120" w:line="300" w:lineRule="auto"/>
      </w:pPr>
      <w:r>
        <w:t>Se solicita al equipo de extracción SABI una consulta de empresas españolas que servirá como pool de donantes para el análisis contrafactual de impacto del PERTE VEC (Primera Convocatoria). Las empresas extraídas deberán cumplir simultáneamente los seis filtros definidos en la Sección 3 y entregarse en el formato descrito en la Sección 5.</w:t>
      </w:r>
    </w:p>
    <w:p w14:paraId="491945B1" w14:textId="77777777" w:rsidR="008F6CE2" w:rsidRDefault="00DA488C">
      <w:pPr>
        <w:spacing w:after="120" w:line="300" w:lineRule="auto"/>
      </w:pPr>
      <w:r>
        <w:t xml:space="preserve">El pool resultante se empleará para construir un grupo de control sintético (Abadie et al.) con especificación </w:t>
      </w:r>
      <w:proofErr w:type="spellStart"/>
      <w:r>
        <w:t>Difference</w:t>
      </w:r>
      <w:proofErr w:type="spellEnd"/>
      <w:r>
        <w:t>-in-</w:t>
      </w:r>
      <w:proofErr w:type="spellStart"/>
      <w:r>
        <w:t>Differences</w:t>
      </w:r>
      <w:proofErr w:type="spellEnd"/>
      <w:r>
        <w:t>, siendo el año de tratamiento 2023 y el año de referencia para efectos fijos 2022.</w:t>
      </w:r>
    </w:p>
    <w:p w14:paraId="6993727C" w14:textId="77777777" w:rsidR="008F6CE2" w:rsidRDefault="00DA488C">
      <w:pPr>
        <w:pStyle w:val="Ttulo1"/>
      </w:pPr>
      <w:r>
        <w:t>2. Contexto metodológico</w:t>
      </w:r>
    </w:p>
    <w:p w14:paraId="589C016C" w14:textId="77777777" w:rsidR="008F6CE2" w:rsidRDefault="00DA488C">
      <w:pPr>
        <w:spacing w:after="120" w:line="300" w:lineRule="auto"/>
      </w:pPr>
      <w:r>
        <w:rPr>
          <w:b/>
          <w:bCs/>
        </w:rPr>
        <w:t xml:space="preserve">Marco identificativo: </w:t>
      </w:r>
      <w:proofErr w:type="spellStart"/>
      <w:r>
        <w:t>DiD</w:t>
      </w:r>
      <w:proofErr w:type="spellEnd"/>
      <w:r>
        <w:t xml:space="preserve"> con intensidad de tratamiento continua sobre variables de dosis monetaria, combinado con Control Sintético para la construcción del contrafactual.</w:t>
      </w:r>
    </w:p>
    <w:p w14:paraId="73EF682B" w14:textId="77777777" w:rsidR="008F6CE2" w:rsidRDefault="00DA488C">
      <w:pPr>
        <w:spacing w:after="120" w:line="300" w:lineRule="auto"/>
      </w:pPr>
      <w:r>
        <w:rPr>
          <w:b/>
          <w:bCs/>
        </w:rPr>
        <w:t xml:space="preserve">Universo de beneficiarias: </w:t>
      </w:r>
      <w:r>
        <w:t>238 empresas mercantiles localizadas en SABI (de 242 del cuestionario); 14 entidades no mercantiles —</w:t>
      </w:r>
      <w:proofErr w:type="spellStart"/>
      <w:r>
        <w:t>CIFs</w:t>
      </w:r>
      <w:proofErr w:type="spellEnd"/>
      <w:r>
        <w:t xml:space="preserve"> tipo Q y G— quedan fuera del análisis por no tener comparables. Subvenciones totales concedidas: 573,3 M€.</w:t>
      </w:r>
    </w:p>
    <w:p w14:paraId="427C34F4" w14:textId="77777777" w:rsidR="008F6CE2" w:rsidRDefault="00DA488C">
      <w:pPr>
        <w:spacing w:after="120" w:line="300" w:lineRule="auto"/>
      </w:pPr>
      <w:r>
        <w:rPr>
          <w:b/>
          <w:bCs/>
        </w:rPr>
        <w:t xml:space="preserve">Ventana temporal: </w:t>
      </w:r>
      <w:r>
        <w:t>pretratamiento 2019–2022 (cuatro años), tratamiento en 2023, postratamiento 2023–2024 en esta primera evaluación. Se requiere serie completa 2019–2024 para garantizar identificación de tendencias paralelas y cálculo de pesos sintéticos.</w:t>
      </w:r>
    </w:p>
    <w:p w14:paraId="32084DE2" w14:textId="77777777" w:rsidR="008F6CE2" w:rsidRDefault="00DA488C">
      <w:pPr>
        <w:spacing w:after="120" w:line="300" w:lineRule="auto"/>
      </w:pPr>
      <w:r>
        <w:rPr>
          <w:b/>
          <w:bCs/>
        </w:rPr>
        <w:t xml:space="preserve">Tamaño objetivo del pool: </w:t>
      </w:r>
      <w:r>
        <w:t>entre 500 y 2.000 empresas efectivas tras aplicar los seis filtros. Esta dimensión es adecuada para el algoritmo de Control Sintético y permite holgura ante depuraciones adicionales (placebos, recorte de donantes con ajuste pretratamiento pobre).</w:t>
      </w:r>
    </w:p>
    <w:p w14:paraId="03A09765" w14:textId="77777777" w:rsidR="008F6CE2" w:rsidRDefault="00DA488C">
      <w:pPr>
        <w:pStyle w:val="Ttulo1"/>
      </w:pPr>
      <w:r>
        <w:lastRenderedPageBreak/>
        <w:t>3. Filtros a aplicar (secuencia obligatoria)</w:t>
      </w:r>
    </w:p>
    <w:p w14:paraId="42DCAB53" w14:textId="77777777" w:rsidR="008F6CE2" w:rsidRDefault="00DA488C">
      <w:pPr>
        <w:spacing w:after="120" w:line="300" w:lineRule="auto"/>
      </w:pPr>
      <w:r>
        <w:t>Los seis filtros deben aplicarse de forma conjunta y secuencial. El orden propuesto minimiza el tamaño del resultado intermedio y reduce la carga de la consulta.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00"/>
        <w:gridCol w:w="5840"/>
      </w:tblGrid>
      <w:tr w:rsidR="008F6CE2" w14:paraId="3FA7A106" w14:textId="77777777">
        <w:tblPrEx>
          <w:tblCellMar>
            <w:top w:w="0" w:type="dxa"/>
            <w:bottom w:w="0" w:type="dxa"/>
          </w:tblCellMar>
        </w:tblPrEx>
        <w:trPr>
          <w:tblHeader/>
        </w:trPr>
        <w:tc>
          <w:tcPr>
            <w:tcW w:w="7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6A55A62" w14:textId="77777777" w:rsidR="008F6CE2" w:rsidRDefault="00DA488C">
            <w:r>
              <w:rPr>
                <w:b/>
                <w:bCs/>
                <w:color w:val="FFFFFF"/>
              </w:rPr>
              <w:t>#</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089232A" w14:textId="77777777" w:rsidR="008F6CE2" w:rsidRDefault="00DA488C">
            <w:r>
              <w:rPr>
                <w:b/>
                <w:bCs/>
                <w:color w:val="FFFFFF"/>
              </w:rPr>
              <w:t>Criterio</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816D9A1" w14:textId="77777777" w:rsidR="008F6CE2" w:rsidRDefault="00DA488C">
            <w:r>
              <w:rPr>
                <w:b/>
                <w:bCs/>
                <w:color w:val="FFFFFF"/>
              </w:rPr>
              <w:t>Especificación operativa</w:t>
            </w:r>
          </w:p>
        </w:tc>
      </w:tr>
      <w:tr w:rsidR="008F6CE2" w14:paraId="10F7743D"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D92B1D" w14:textId="77777777" w:rsidR="008F6CE2" w:rsidRDefault="00DA488C">
            <w:r>
              <w:rPr>
                <w:b/>
                <w:bCs/>
              </w:rPr>
              <w:t>1</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257B965" w14:textId="77777777" w:rsidR="008F6CE2" w:rsidRDefault="00DA488C">
            <w:r>
              <w:rPr>
                <w:b/>
                <w:bCs/>
              </w:rPr>
              <w:t>Filtro sectorial</w:t>
            </w:r>
          </w:p>
        </w:tc>
        <w:tc>
          <w:tcPr>
            <w:tcW w:w="58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A704AEF" w14:textId="77777777" w:rsidR="008F6CE2" w:rsidRDefault="00DA488C">
            <w:r>
              <w:t xml:space="preserve">CNAE 2009 a 4 dígitos ∈ </w:t>
            </w:r>
            <w:proofErr w:type="gramStart"/>
            <w:r>
              <w:t>{ lista</w:t>
            </w:r>
            <w:proofErr w:type="gramEnd"/>
            <w:r>
              <w:t xml:space="preserve"> adjunta (Anexo A</w:t>
            </w:r>
            <w:proofErr w:type="gramStart"/>
            <w:r>
              <w:t>) }</w:t>
            </w:r>
            <w:proofErr w:type="gramEnd"/>
            <w:r>
              <w:t xml:space="preserve"> — conjunto de </w:t>
            </w:r>
            <w:proofErr w:type="spellStart"/>
            <w:r>
              <w:t>CNAEs</w:t>
            </w:r>
            <w:proofErr w:type="spellEnd"/>
            <w:r>
              <w:t xml:space="preserve"> representados entre las 238 beneficiarias.</w:t>
            </w:r>
          </w:p>
        </w:tc>
      </w:tr>
      <w:tr w:rsidR="008F6CE2" w14:paraId="7D745794"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331198" w14:textId="77777777" w:rsidR="008F6CE2" w:rsidRDefault="00DA488C">
            <w:r>
              <w:rPr>
                <w:b/>
                <w:bCs/>
              </w:rPr>
              <w:t>2</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236A7FF" w14:textId="77777777" w:rsidR="008F6CE2" w:rsidRDefault="00DA488C">
            <w:r>
              <w:rPr>
                <w:b/>
                <w:bCs/>
              </w:rPr>
              <w:t>Filtro tamaño</w:t>
            </w:r>
          </w:p>
        </w:tc>
        <w:tc>
          <w:tcPr>
            <w:tcW w:w="58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5D7A8D2" w14:textId="77777777" w:rsidR="008F6CE2" w:rsidRDefault="00DA488C">
            <w:r>
              <w:t>Número de empleados &gt; 10 (estricto) en al menos un año del periodo 2019–2024. Sin techo superior de tamaño.</w:t>
            </w:r>
          </w:p>
        </w:tc>
      </w:tr>
      <w:tr w:rsidR="008F6CE2" w14:paraId="67DB7009"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50BA0E" w14:textId="77777777" w:rsidR="008F6CE2" w:rsidRDefault="00DA488C">
            <w:r>
              <w:rPr>
                <w:b/>
                <w:bCs/>
              </w:rPr>
              <w:t>3</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AFE9D80" w14:textId="77777777" w:rsidR="008F6CE2" w:rsidRDefault="00DA488C">
            <w:r>
              <w:rPr>
                <w:b/>
                <w:bCs/>
              </w:rPr>
              <w:t>Filtro antigüedad</w:t>
            </w:r>
          </w:p>
        </w:tc>
        <w:tc>
          <w:tcPr>
            <w:tcW w:w="58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4ED1F6E" w14:textId="77777777" w:rsidR="008F6CE2" w:rsidRDefault="00DA488C">
            <w:r>
              <w:t>Año de constitución &lt; 2015 (estricto). Garantiza al menos 4 años de trayectoria pretratamiento sobre empresas estabilizadas.</w:t>
            </w:r>
          </w:p>
        </w:tc>
      </w:tr>
      <w:tr w:rsidR="008F6CE2" w14:paraId="676CE053"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66087F" w14:textId="77777777" w:rsidR="008F6CE2" w:rsidRDefault="00DA488C">
            <w:r>
              <w:rPr>
                <w:b/>
                <w:bCs/>
              </w:rPr>
              <w:t>4</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D60DA50" w14:textId="77777777" w:rsidR="008F6CE2" w:rsidRDefault="00DA488C">
            <w:r>
              <w:rPr>
                <w:b/>
                <w:bCs/>
              </w:rPr>
              <w:t>Filtro continuidad</w:t>
            </w:r>
          </w:p>
        </w:tc>
        <w:tc>
          <w:tcPr>
            <w:tcW w:w="58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7A3F14C" w14:textId="77777777" w:rsidR="008F6CE2" w:rsidRDefault="00DA488C">
            <w:r>
              <w:t>Cuentas depositadas con dato NO nulo de “Importe neto de la cifra de negocios” en LOS SEIS AÑOS 2019, 2020, 2021, 2022, 2023, 2024 (criterio estricto 6 de 6).</w:t>
            </w:r>
          </w:p>
        </w:tc>
      </w:tr>
      <w:tr w:rsidR="008F6CE2" w14:paraId="383BD39C"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E6C9C3" w14:textId="77777777" w:rsidR="008F6CE2" w:rsidRDefault="00DA488C">
            <w:r>
              <w:rPr>
                <w:b/>
                <w:bCs/>
              </w:rPr>
              <w:t>5</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ED7101C" w14:textId="77777777" w:rsidR="008F6CE2" w:rsidRDefault="00DA488C">
            <w:r>
              <w:rPr>
                <w:b/>
                <w:bCs/>
              </w:rPr>
              <w:t>Exclusión de tratadas</w:t>
            </w:r>
          </w:p>
        </w:tc>
        <w:tc>
          <w:tcPr>
            <w:tcW w:w="58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B91ECF2" w14:textId="77777777" w:rsidR="008F6CE2" w:rsidRDefault="00DA488C">
            <w:r>
              <w:t xml:space="preserve">CIF ∉ </w:t>
            </w:r>
            <w:proofErr w:type="gramStart"/>
            <w:r>
              <w:t>{ lista</w:t>
            </w:r>
            <w:proofErr w:type="gramEnd"/>
            <w:r>
              <w:t xml:space="preserve"> de 238 </w:t>
            </w:r>
            <w:proofErr w:type="spellStart"/>
            <w:r>
              <w:t>CIFs</w:t>
            </w:r>
            <w:proofErr w:type="spellEnd"/>
            <w:r>
              <w:t xml:space="preserve"> beneficiarios adjunta (Anexo B) }.</w:t>
            </w:r>
          </w:p>
        </w:tc>
      </w:tr>
      <w:tr w:rsidR="008F6CE2" w14:paraId="2EE8C002"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31DD63" w14:textId="77777777" w:rsidR="008F6CE2" w:rsidRDefault="00DA488C">
            <w:r>
              <w:rPr>
                <w:b/>
                <w:bCs/>
              </w:rPr>
              <w:t>6</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6071761" w14:textId="77777777" w:rsidR="008F6CE2" w:rsidRDefault="00DA488C">
            <w:r>
              <w:rPr>
                <w:b/>
                <w:bCs/>
              </w:rPr>
              <w:t xml:space="preserve">Exclusión de </w:t>
            </w:r>
            <w:proofErr w:type="spellStart"/>
            <w:r>
              <w:rPr>
                <w:b/>
                <w:bCs/>
              </w:rPr>
              <w:t>CNAEs</w:t>
            </w:r>
            <w:proofErr w:type="spellEnd"/>
            <w:r>
              <w:rPr>
                <w:b/>
                <w:bCs/>
              </w:rPr>
              <w:t xml:space="preserve"> contaminados</w:t>
            </w:r>
          </w:p>
        </w:tc>
        <w:tc>
          <w:tcPr>
            <w:tcW w:w="58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91893BF" w14:textId="77777777" w:rsidR="008F6CE2" w:rsidRDefault="00DA488C">
            <w:r>
              <w:t xml:space="preserve">CNAE ∉ </w:t>
            </w:r>
            <w:proofErr w:type="gramStart"/>
            <w:r>
              <w:t>{ 7022</w:t>
            </w:r>
            <w:proofErr w:type="gramEnd"/>
            <w:r>
              <w:t xml:space="preserve">, 8299, 4719, 4778, </w:t>
            </w:r>
            <w:proofErr w:type="gramStart"/>
            <w:r>
              <w:t>9609 }</w:t>
            </w:r>
            <w:proofErr w:type="gramEnd"/>
            <w:r>
              <w:t>. Cinco códigos excluidos por baja comparabilidad con el núcleo industrial y alta acumulación de donantes ruidosos.</w:t>
            </w:r>
          </w:p>
        </w:tc>
      </w:tr>
    </w:tbl>
    <w:p w14:paraId="321ADA5A" w14:textId="77777777" w:rsidR="008F6CE2" w:rsidRDefault="00DA488C">
      <w:pPr>
        <w:pStyle w:val="Ttulo2"/>
      </w:pPr>
      <w:r>
        <w:t>3.1. Notas operativas por filtro</w:t>
      </w:r>
    </w:p>
    <w:p w14:paraId="4B378F6D" w14:textId="77777777" w:rsidR="008F6CE2" w:rsidRDefault="00DA488C">
      <w:pPr>
        <w:pStyle w:val="Ttulo3"/>
      </w:pPr>
      <w:r>
        <w:t>Filtro 1 — Sectorial (CNAE 4 dígitos)</w:t>
      </w:r>
    </w:p>
    <w:p w14:paraId="2D86358B" w14:textId="77777777" w:rsidR="008F6CE2" w:rsidRDefault="00DA488C">
      <w:pPr>
        <w:spacing w:after="120" w:line="300" w:lineRule="auto"/>
      </w:pPr>
      <w:r>
        <w:t>Se usa CNAE-2009 a cuatro dígitos. Se descartaron las alternativas a 2 y 3 dígitos por devolver universos excesivamente grandes (aprox. 1.000.000 y 300.000 empresas respectivamente). La lista exacta de códigos CNAE admisibles se adjunta en el Anexo A de este documento.</w:t>
      </w:r>
    </w:p>
    <w:p w14:paraId="10C0F362" w14:textId="77777777" w:rsidR="008F6CE2" w:rsidRDefault="00DA488C">
      <w:pPr>
        <w:pStyle w:val="Ttulo3"/>
      </w:pPr>
      <w:r>
        <w:t>Filtro 2 — Tamaño (&gt; 10 empleados)</w:t>
      </w:r>
    </w:p>
    <w:p w14:paraId="5545C0EE" w14:textId="77777777" w:rsidR="008F6CE2" w:rsidRDefault="00DA488C">
      <w:pPr>
        <w:spacing w:after="120" w:line="300" w:lineRule="auto"/>
      </w:pPr>
      <w:r>
        <w:t xml:space="preserve">El umbral de 10 empleados se fija por debajo del umbral inicialmente considerado (15 empleados) para preservar comparabilidad con las 48 beneficiarias tipo </w:t>
      </w:r>
      <w:proofErr w:type="gramStart"/>
      <w:r>
        <w:t>startup</w:t>
      </w:r>
      <w:proofErr w:type="gramEnd"/>
      <w:r>
        <w:t xml:space="preserve"> presentes en la muestra. No se impone techo superior: el algoritmo de Control Sintético asigna automáticamente peso bajo a </w:t>
      </w:r>
      <w:proofErr w:type="spellStart"/>
      <w:r>
        <w:t>outliers</w:t>
      </w:r>
      <w:proofErr w:type="spellEnd"/>
      <w:r>
        <w:t xml:space="preserve"> de gran tamaño que no ajustan bien en pretratamiento.</w:t>
      </w:r>
    </w:p>
    <w:p w14:paraId="70074B7E" w14:textId="77777777" w:rsidR="008F6CE2" w:rsidRDefault="00DA488C">
      <w:pPr>
        <w:pStyle w:val="Ttulo3"/>
      </w:pPr>
      <w:r>
        <w:t>Filtro 3 — Antigüedad (constitución &lt; 2015)</w:t>
      </w:r>
    </w:p>
    <w:p w14:paraId="62E8033A" w14:textId="77777777" w:rsidR="008F6CE2" w:rsidRDefault="00DA488C">
      <w:pPr>
        <w:spacing w:after="120" w:line="300" w:lineRule="auto"/>
      </w:pPr>
      <w:r>
        <w:t>Se exige constitución estrictamente anterior a 2015 para disponer de al menos cuatro ejercicios completos de trayectoria pretratamiento (2019–2022). Se descartó el corte pre-2018 por insuficiente.</w:t>
      </w:r>
    </w:p>
    <w:p w14:paraId="79D0BBFB" w14:textId="77777777" w:rsidR="008F6CE2" w:rsidRDefault="00DA488C">
      <w:pPr>
        <w:pStyle w:val="Ttulo3"/>
      </w:pPr>
      <w:r>
        <w:t>Filtro 4 — Continuidad (6 de 6 años)</w:t>
      </w:r>
    </w:p>
    <w:p w14:paraId="57C88C4F" w14:textId="77777777" w:rsidR="008F6CE2" w:rsidRDefault="00DA488C">
      <w:pPr>
        <w:spacing w:after="120" w:line="300" w:lineRule="auto"/>
      </w:pPr>
      <w:r>
        <w:lastRenderedPageBreak/>
        <w:t>Se exige depósito de cuentas con dato no nulo de “Importe neto de la cifra de negocios” en los seis años 2019–2024. Se optó por el criterio estricto 6/6 y no por 5/6 porque el universo de partida es suficientemente grande para soportar la exigencia. La variable de ventas utilizada es exclusivamente “Importe neto de la cifra de negocios” (no “Ingresos de explotación” ni “Facturación total”).</w:t>
      </w:r>
    </w:p>
    <w:p w14:paraId="43BBA3EA" w14:textId="77777777" w:rsidR="008F6CE2" w:rsidRDefault="00DA488C">
      <w:pPr>
        <w:pStyle w:val="Ttulo3"/>
      </w:pPr>
      <w:r>
        <w:t>Filtro 5 — Exclusión de las 238 tratadas</w:t>
      </w:r>
    </w:p>
    <w:p w14:paraId="108C3375" w14:textId="77777777" w:rsidR="008F6CE2" w:rsidRDefault="00DA488C">
      <w:pPr>
        <w:spacing w:after="120" w:line="300" w:lineRule="auto"/>
      </w:pPr>
      <w:r>
        <w:t xml:space="preserve">Se adjunta en el Anexo B la lista completa de </w:t>
      </w:r>
      <w:proofErr w:type="spellStart"/>
      <w:r>
        <w:t>CIFs</w:t>
      </w:r>
      <w:proofErr w:type="spellEnd"/>
      <w:r>
        <w:t xml:space="preserve"> beneficiarios. Ninguno de ellos debe aparecer en el pool de donantes.</w:t>
      </w:r>
    </w:p>
    <w:p w14:paraId="6D9ED51C" w14:textId="77777777" w:rsidR="008F6CE2" w:rsidRDefault="00DA488C">
      <w:pPr>
        <w:pStyle w:val="Ttulo3"/>
      </w:pPr>
      <w:r>
        <w:t xml:space="preserve">Filtro 6 — Exclusión de 5 </w:t>
      </w:r>
      <w:proofErr w:type="spellStart"/>
      <w:r>
        <w:t>CNAEs</w:t>
      </w:r>
      <w:proofErr w:type="spellEnd"/>
      <w:r>
        <w:t xml:space="preserve"> contaminados</w:t>
      </w:r>
    </w:p>
    <w:p w14:paraId="01628990" w14:textId="77777777" w:rsidR="008F6CE2" w:rsidRDefault="00DA488C">
      <w:pPr>
        <w:spacing w:after="120" w:line="300" w:lineRule="auto"/>
      </w:pPr>
      <w:r>
        <w:t xml:space="preserve">Los cinco códigos excluidos son: 7022 (consultoría de gestión empresarial), 8299 (otras actividades de apoyo a las empresas), 4719 (comercio al por menor no especializado), 4778 (comercio al por menor de artículos nuevos en establecimientos especializados) y 9609 (otros servicios personales). La exclusión supone perder 5 beneficiarias (2,1 % de la muestra) a cambio de eliminar 80.858 donantes ruidosos (aproximadamente 61 % del </w:t>
      </w:r>
      <w:proofErr w:type="spellStart"/>
      <w:r>
        <w:t>subpool</w:t>
      </w:r>
      <w:proofErr w:type="spellEnd"/>
      <w:r>
        <w:t xml:space="preserve"> de los </w:t>
      </w:r>
      <w:proofErr w:type="spellStart"/>
      <w:r>
        <w:t>CNAEs</w:t>
      </w:r>
      <w:proofErr w:type="spellEnd"/>
      <w:r>
        <w:t xml:space="preserve"> con una única beneficiaria). El balance coste/beneficio es claramente favorable.</w:t>
      </w:r>
    </w:p>
    <w:p w14:paraId="3C440C7D" w14:textId="77777777" w:rsidR="008F6CE2" w:rsidRDefault="00DA488C">
      <w:pPr>
        <w:pStyle w:val="Ttulo1"/>
      </w:pPr>
      <w:r>
        <w:t>4. Variables solicitadas (por empresa y por año)</w:t>
      </w:r>
    </w:p>
    <w:p w14:paraId="199FF393" w14:textId="77777777" w:rsidR="008F6CE2" w:rsidRDefault="00DA488C">
      <w:pPr>
        <w:spacing w:after="120" w:line="300" w:lineRule="auto"/>
      </w:pPr>
      <w:r>
        <w:t>Se requiere panel largo con una observación por empresa-año, cubriendo los seis ejercicios 2019–2024. Las variables mínimas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F6CE2" w14:paraId="70D9F168"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8501D61" w14:textId="77777777" w:rsidR="008F6CE2" w:rsidRDefault="00DA488C">
            <w:r>
              <w:rPr>
                <w:b/>
                <w:bCs/>
                <w:color w:val="FFFFFF"/>
              </w:rPr>
              <w:t>Variable</w:t>
            </w:r>
          </w:p>
        </w:tc>
        <w:tc>
          <w:tcPr>
            <w:tcW w:w="62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483D6F3" w14:textId="77777777" w:rsidR="008F6CE2" w:rsidRDefault="00DA488C">
            <w:r>
              <w:rPr>
                <w:b/>
                <w:bCs/>
                <w:color w:val="FFFFFF"/>
              </w:rPr>
              <w:t>Especificación / fuente SABI</w:t>
            </w:r>
          </w:p>
        </w:tc>
      </w:tr>
      <w:tr w:rsidR="008F6CE2" w14:paraId="2359B8E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40F0768" w14:textId="77777777" w:rsidR="008F6CE2" w:rsidRDefault="00DA488C">
            <w:r>
              <w:rPr>
                <w:b/>
                <w:bCs/>
              </w:rPr>
              <w:t>CIF / NIF</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F9C1EE2" w14:textId="77777777" w:rsidR="008F6CE2" w:rsidRDefault="00DA488C">
            <w:r>
              <w:t>Código identificativo fiscal, estandarizado en mayúsculas sin espacios.</w:t>
            </w:r>
          </w:p>
        </w:tc>
      </w:tr>
      <w:tr w:rsidR="008F6CE2" w14:paraId="158BCC3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417C9BE" w14:textId="77777777" w:rsidR="008F6CE2" w:rsidRDefault="00DA488C">
            <w:r>
              <w:rPr>
                <w:b/>
                <w:bCs/>
              </w:rPr>
              <w:t>Razón social</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FA3449B" w14:textId="77777777" w:rsidR="008F6CE2" w:rsidRDefault="00DA488C">
            <w:r>
              <w:t>Denominación social completa.</w:t>
            </w:r>
          </w:p>
        </w:tc>
      </w:tr>
      <w:tr w:rsidR="008F6CE2" w14:paraId="67B0BF4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F25647F" w14:textId="77777777" w:rsidR="008F6CE2" w:rsidRDefault="00DA488C">
            <w:r>
              <w:rPr>
                <w:b/>
                <w:bCs/>
              </w:rPr>
              <w:t>CNAE 2009 (4 dígitos)</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88D16CE" w14:textId="77777777" w:rsidR="008F6CE2" w:rsidRDefault="00DA488C">
            <w:r>
              <w:t>Actividad principal declarada.</w:t>
            </w:r>
          </w:p>
        </w:tc>
      </w:tr>
      <w:tr w:rsidR="008F6CE2" w14:paraId="1336FC4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2A76DA7" w14:textId="77777777" w:rsidR="008F6CE2" w:rsidRDefault="00DA488C">
            <w:r>
              <w:rPr>
                <w:b/>
                <w:bCs/>
              </w:rPr>
              <w:t>Año de constitución</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C264521" w14:textId="77777777" w:rsidR="008F6CE2" w:rsidRDefault="00DA488C">
            <w:r>
              <w:t>Formato AAAA.</w:t>
            </w:r>
          </w:p>
        </w:tc>
      </w:tr>
      <w:tr w:rsidR="008F6CE2" w14:paraId="2D25BD5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F79E360" w14:textId="77777777" w:rsidR="008F6CE2" w:rsidRDefault="00DA488C">
            <w:r>
              <w:rPr>
                <w:b/>
                <w:bCs/>
              </w:rPr>
              <w:t>Provincia / Código postal</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214A5B4" w14:textId="77777777" w:rsidR="008F6CE2" w:rsidRDefault="00DA488C">
            <w:r>
              <w:t>Domicilio social.</w:t>
            </w:r>
          </w:p>
        </w:tc>
      </w:tr>
      <w:tr w:rsidR="008F6CE2" w14:paraId="0A6C561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BDD6902" w14:textId="77777777" w:rsidR="008F6CE2" w:rsidRDefault="00DA488C">
            <w:r>
              <w:rPr>
                <w:b/>
                <w:bCs/>
              </w:rPr>
              <w:t>Empleados</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8122043" w14:textId="77777777" w:rsidR="008F6CE2" w:rsidRDefault="00DA488C">
            <w:r>
              <w:t>Número de empleados, serie anual 2019–2024.</w:t>
            </w:r>
          </w:p>
        </w:tc>
      </w:tr>
      <w:tr w:rsidR="008F6CE2" w14:paraId="7F2513F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92FD9EA" w14:textId="77777777" w:rsidR="008F6CE2" w:rsidRDefault="00DA488C">
            <w:r>
              <w:rPr>
                <w:b/>
                <w:bCs/>
              </w:rPr>
              <w:t>Ventas</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BC7E83C" w14:textId="77777777" w:rsidR="008F6CE2" w:rsidRDefault="00DA488C">
            <w:r>
              <w:t>Importe neto de la cifra de negocios, serie anual 2019–2024. EUR.</w:t>
            </w:r>
          </w:p>
        </w:tc>
      </w:tr>
      <w:tr w:rsidR="008F6CE2" w14:paraId="077C11E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C7B1610" w14:textId="77777777" w:rsidR="008F6CE2" w:rsidRDefault="00DA488C">
            <w:r>
              <w:rPr>
                <w:b/>
                <w:bCs/>
              </w:rPr>
              <w:t>Inmovilizado intangible</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90A3410" w14:textId="77777777" w:rsidR="008F6CE2" w:rsidRDefault="00DA488C">
            <w:r>
              <w:t>Serie anual 2019–2024. EUR. Sustituye a la variable “Gastos de desarrollo” descartada por cobertura nula en serie anual.</w:t>
            </w:r>
          </w:p>
        </w:tc>
      </w:tr>
      <w:tr w:rsidR="008F6CE2" w14:paraId="207325C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DC74DFE" w14:textId="77777777" w:rsidR="008F6CE2" w:rsidRDefault="00DA488C">
            <w:r>
              <w:rPr>
                <w:b/>
                <w:bCs/>
              </w:rPr>
              <w:t>Exportaciones (% último año)</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207CDE9" w14:textId="77777777" w:rsidR="008F6CE2" w:rsidRDefault="00DA488C">
            <w:r>
              <w:t>Porcentaje de ventas exportadas, último ejercicio disponible. Única variable de exportación solicitada (Opción A).</w:t>
            </w:r>
          </w:p>
        </w:tc>
      </w:tr>
      <w:tr w:rsidR="008F6CE2" w14:paraId="6B774F0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C7E3895" w14:textId="77777777" w:rsidR="008F6CE2" w:rsidRDefault="00DA488C">
            <w:r>
              <w:rPr>
                <w:b/>
                <w:bCs/>
              </w:rPr>
              <w:t>Activo total</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14DA9C9" w14:textId="77777777" w:rsidR="008F6CE2" w:rsidRDefault="00DA488C">
            <w:r>
              <w:t>Serie anual 2019–2024. EUR. Variable auxiliar para control de tamaño.</w:t>
            </w:r>
          </w:p>
        </w:tc>
      </w:tr>
      <w:tr w:rsidR="008F6CE2" w14:paraId="5023E8C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B1F6C33" w14:textId="77777777" w:rsidR="008F6CE2" w:rsidRDefault="00DA488C">
            <w:r>
              <w:rPr>
                <w:b/>
                <w:bCs/>
              </w:rPr>
              <w:t>Fondos propios</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F86C441" w14:textId="77777777" w:rsidR="008F6CE2" w:rsidRDefault="00DA488C">
            <w:r>
              <w:t>Serie anual 2019–2024. EUR. Variable auxiliar.</w:t>
            </w:r>
          </w:p>
        </w:tc>
      </w:tr>
      <w:tr w:rsidR="008F6CE2" w14:paraId="07FD542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CA4E040" w14:textId="77777777" w:rsidR="008F6CE2" w:rsidRDefault="00DA488C">
            <w:r>
              <w:rPr>
                <w:b/>
                <w:bCs/>
              </w:rPr>
              <w:lastRenderedPageBreak/>
              <w:t>Resultado del ejercicio</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C3BAA34" w14:textId="77777777" w:rsidR="008F6CE2" w:rsidRDefault="00DA488C">
            <w:r>
              <w:t>Serie anual 2019–2024. EUR. Variable auxiliar.</w:t>
            </w:r>
          </w:p>
        </w:tc>
      </w:tr>
    </w:tbl>
    <w:p w14:paraId="1C9205AE" w14:textId="77777777" w:rsidR="008F6CE2" w:rsidRDefault="00DA488C">
      <w:pPr>
        <w:pStyle w:val="Ttulo1"/>
      </w:pPr>
      <w:r>
        <w:t>5. Formato de entrega</w:t>
      </w:r>
    </w:p>
    <w:p w14:paraId="28F0AFD1" w14:textId="77777777" w:rsidR="008F6CE2" w:rsidRDefault="00DA488C">
      <w:pPr>
        <w:pStyle w:val="Prrafodelista"/>
        <w:numPr>
          <w:ilvl w:val="0"/>
          <w:numId w:val="2"/>
        </w:numPr>
        <w:spacing w:after="80"/>
      </w:pPr>
      <w:r>
        <w:t>Fichero Excel (.xlsx) en formato panel largo: una fila por par empresa-año, seis filas por empresa.</w:t>
      </w:r>
    </w:p>
    <w:p w14:paraId="3495A2F8" w14:textId="77777777" w:rsidR="008F6CE2" w:rsidRDefault="00DA488C">
      <w:pPr>
        <w:pStyle w:val="Prrafodelista"/>
        <w:numPr>
          <w:ilvl w:val="0"/>
          <w:numId w:val="2"/>
        </w:numPr>
        <w:spacing w:after="80"/>
      </w:pPr>
      <w:r>
        <w:t>Hoja adicional “Diccionario” con nombre de variable SABI, descripción y unidades.</w:t>
      </w:r>
    </w:p>
    <w:p w14:paraId="6B99C6DA" w14:textId="77777777" w:rsidR="008F6CE2" w:rsidRDefault="00DA488C">
      <w:pPr>
        <w:pStyle w:val="Prrafodelista"/>
        <w:numPr>
          <w:ilvl w:val="0"/>
          <w:numId w:val="2"/>
        </w:numPr>
        <w:spacing w:after="80"/>
      </w:pPr>
      <w:r>
        <w:t>Hoja adicional “Cobertura” con porcentaje de no nulos por variable y año.</w:t>
      </w:r>
    </w:p>
    <w:p w14:paraId="056E9355" w14:textId="77777777" w:rsidR="008F6CE2" w:rsidRDefault="00DA488C">
      <w:pPr>
        <w:pStyle w:val="Prrafodelista"/>
        <w:numPr>
          <w:ilvl w:val="0"/>
          <w:numId w:val="2"/>
        </w:numPr>
        <w:spacing w:after="80"/>
      </w:pPr>
      <w:r>
        <w:t>Codificación UTF-8 y separador decimal coma o punto (indicar cuál).</w:t>
      </w:r>
    </w:p>
    <w:p w14:paraId="7E16DA59" w14:textId="77777777" w:rsidR="008F6CE2" w:rsidRDefault="00DA488C">
      <w:pPr>
        <w:pStyle w:val="Prrafodelista"/>
        <w:numPr>
          <w:ilvl w:val="0"/>
          <w:numId w:val="2"/>
        </w:numPr>
        <w:spacing w:after="80"/>
      </w:pPr>
      <w:r>
        <w:t>Fecha de extracción y versión de SABI consultada en hoja “README”.</w:t>
      </w:r>
    </w:p>
    <w:p w14:paraId="4DC38A8F" w14:textId="77777777" w:rsidR="008F6CE2" w:rsidRDefault="00DA488C">
      <w:pPr>
        <w:pStyle w:val="Ttulo1"/>
      </w:pPr>
      <w:r>
        <w:t>6. Plazos y contacto</w:t>
      </w:r>
    </w:p>
    <w:p w14:paraId="61A75E19" w14:textId="77777777" w:rsidR="008F6CE2" w:rsidRDefault="00DA488C">
      <w:pPr>
        <w:spacing w:after="120" w:line="300" w:lineRule="auto"/>
      </w:pPr>
      <w:r>
        <w:t>La extracción es prioritaria dentro del cronograma de la Fase 3 del proyecto. Se solicita confirmación de recepción de esta petición en un plazo máximo de 48 horas y entrega del fichero en el plazo habitual de producción.</w:t>
      </w:r>
    </w:p>
    <w:p w14:paraId="6CD1D03A" w14:textId="77777777" w:rsidR="008F6CE2" w:rsidRDefault="00DA488C">
      <w:pPr>
        <w:spacing w:after="120" w:line="300" w:lineRule="auto"/>
      </w:pPr>
      <w:r>
        <w:t xml:space="preserve">Cualquier duda o discrepancia con los filtros puede elevarse al equipo técnico antes de lanzar la consulta, para evitar </w:t>
      </w:r>
      <w:proofErr w:type="spellStart"/>
      <w:r>
        <w:t>re-ejecuciones</w:t>
      </w:r>
      <w:proofErr w:type="spellEnd"/>
      <w:r>
        <w:t>.</w:t>
      </w:r>
    </w:p>
    <w:p w14:paraId="482E3788" w14:textId="77777777" w:rsidR="008F6CE2" w:rsidRDefault="00DA488C">
      <w:pPr>
        <w:pStyle w:val="Ttulo1"/>
      </w:pPr>
      <w:r>
        <w:t>7. Anexos</w:t>
      </w:r>
    </w:p>
    <w:p w14:paraId="30153CFD" w14:textId="77777777" w:rsidR="008F6CE2" w:rsidRDefault="00DA488C">
      <w:pPr>
        <w:spacing w:after="120" w:line="300" w:lineRule="auto"/>
      </w:pPr>
      <w:r>
        <w:rPr>
          <w:b/>
          <w:bCs/>
        </w:rPr>
        <w:t xml:space="preserve">Anexo A — </w:t>
      </w:r>
      <w:r>
        <w:t>Lista de códigos CNAE-2009 a 4 dígitos representados entre las 238 empresas beneficiarias (fichero adjunto al envío de esta petición).</w:t>
      </w:r>
    </w:p>
    <w:p w14:paraId="39D194EC" w14:textId="77777777" w:rsidR="008F6CE2" w:rsidRDefault="00DA488C">
      <w:pPr>
        <w:spacing w:after="120" w:line="300" w:lineRule="auto"/>
      </w:pPr>
      <w:r>
        <w:rPr>
          <w:b/>
          <w:bCs/>
        </w:rPr>
        <w:t xml:space="preserve">Anexo B — </w:t>
      </w:r>
      <w:r>
        <w:t xml:space="preserve">Lista de 238 </w:t>
      </w:r>
      <w:proofErr w:type="spellStart"/>
      <w:r>
        <w:t>CIFs</w:t>
      </w:r>
      <w:proofErr w:type="spellEnd"/>
      <w:r>
        <w:t xml:space="preserve"> beneficiarios a excluir del pool (fichero adjunto al envío de esta petición).</w:t>
      </w:r>
    </w:p>
    <w:p w14:paraId="384AE180" w14:textId="77777777" w:rsidR="008F6CE2" w:rsidRDefault="00DA488C">
      <w:pPr>
        <w:spacing w:after="120" w:line="300" w:lineRule="auto"/>
      </w:pPr>
      <w:r>
        <w:rPr>
          <w:b/>
          <w:bCs/>
        </w:rPr>
        <w:t xml:space="preserve">Anexo C — </w:t>
      </w:r>
      <w:r>
        <w:t>Nota breve sobre justificación metodológica de los filtros 2, 3, 4 y 6 (disponible a petición).</w:t>
      </w:r>
    </w:p>
    <w:p w14:paraId="2BB9B515" w14:textId="77777777" w:rsidR="008F6CE2" w:rsidRDefault="00DA488C">
      <w:pPr>
        <w:pBdr>
          <w:top w:val="single" w:sz="6" w:space="8" w:color="1F3864"/>
        </w:pBdr>
        <w:spacing w:before="600" w:after="100"/>
      </w:pPr>
      <w:r>
        <w:rPr>
          <w:i/>
          <w:iCs/>
          <w:color w:val="595959"/>
          <w:sz w:val="20"/>
          <w:szCs w:val="20"/>
        </w:rPr>
        <w:t>Documento generado por el equipo técnico de evaluación de impacto PERTE VEC — ACAP.</w:t>
      </w:r>
    </w:p>
    <w:sectPr w:rsidR="008F6CE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C51D" w14:textId="77777777" w:rsidR="00DA488C" w:rsidRDefault="00DA488C">
      <w:r>
        <w:separator/>
      </w:r>
    </w:p>
  </w:endnote>
  <w:endnote w:type="continuationSeparator" w:id="0">
    <w:p w14:paraId="57F82DBF" w14:textId="77777777" w:rsidR="00DA488C" w:rsidRDefault="00DA4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04B1" w14:textId="77777777" w:rsidR="008F6CE2" w:rsidRDefault="00DA488C">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C14701">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C14701">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C4AEE" w14:textId="77777777" w:rsidR="00DA488C" w:rsidRDefault="00DA488C">
      <w:r>
        <w:separator/>
      </w:r>
    </w:p>
  </w:footnote>
  <w:footnote w:type="continuationSeparator" w:id="0">
    <w:p w14:paraId="4E421291" w14:textId="77777777" w:rsidR="00DA488C" w:rsidRDefault="00DA4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358E" w14:textId="77777777" w:rsidR="008F6CE2" w:rsidRDefault="00DA488C">
    <w:pPr>
      <w:jc w:val="right"/>
    </w:pPr>
    <w:r>
      <w:rPr>
        <w:i/>
        <w:iCs/>
        <w:color w:val="808080"/>
        <w:sz w:val="18"/>
        <w:szCs w:val="18"/>
      </w:rPr>
      <w:t>PERTE VEC — Petición SABI v5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B5D7D"/>
    <w:multiLevelType w:val="hybridMultilevel"/>
    <w:tmpl w:val="9E44FCB2"/>
    <w:lvl w:ilvl="0" w:tplc="D760F9A6">
      <w:start w:val="1"/>
      <w:numFmt w:val="bullet"/>
      <w:lvlText w:val="•"/>
      <w:lvlJc w:val="left"/>
      <w:pPr>
        <w:ind w:left="720" w:hanging="360"/>
      </w:pPr>
    </w:lvl>
    <w:lvl w:ilvl="1" w:tplc="05AC156E">
      <w:numFmt w:val="decimal"/>
      <w:lvlText w:val=""/>
      <w:lvlJc w:val="left"/>
    </w:lvl>
    <w:lvl w:ilvl="2" w:tplc="60200D26">
      <w:numFmt w:val="decimal"/>
      <w:lvlText w:val=""/>
      <w:lvlJc w:val="left"/>
    </w:lvl>
    <w:lvl w:ilvl="3" w:tplc="EC98206A">
      <w:numFmt w:val="decimal"/>
      <w:lvlText w:val=""/>
      <w:lvlJc w:val="left"/>
    </w:lvl>
    <w:lvl w:ilvl="4" w:tplc="F5185C46">
      <w:numFmt w:val="decimal"/>
      <w:lvlText w:val=""/>
      <w:lvlJc w:val="left"/>
    </w:lvl>
    <w:lvl w:ilvl="5" w:tplc="8312AA40">
      <w:numFmt w:val="decimal"/>
      <w:lvlText w:val=""/>
      <w:lvlJc w:val="left"/>
    </w:lvl>
    <w:lvl w:ilvl="6" w:tplc="C8BA26AC">
      <w:numFmt w:val="decimal"/>
      <w:lvlText w:val=""/>
      <w:lvlJc w:val="left"/>
    </w:lvl>
    <w:lvl w:ilvl="7" w:tplc="E0EC48DC">
      <w:numFmt w:val="decimal"/>
      <w:lvlText w:val=""/>
      <w:lvlJc w:val="left"/>
    </w:lvl>
    <w:lvl w:ilvl="8" w:tplc="827C3D3E">
      <w:numFmt w:val="decimal"/>
      <w:lvlText w:val=""/>
      <w:lvlJc w:val="left"/>
    </w:lvl>
  </w:abstractNum>
  <w:abstractNum w:abstractNumId="1" w15:restartNumberingAfterBreak="0">
    <w:nsid w:val="3B097520"/>
    <w:multiLevelType w:val="hybridMultilevel"/>
    <w:tmpl w:val="07E084CA"/>
    <w:lvl w:ilvl="0" w:tplc="BD74B066">
      <w:start w:val="1"/>
      <w:numFmt w:val="bullet"/>
      <w:lvlText w:val="●"/>
      <w:lvlJc w:val="left"/>
      <w:pPr>
        <w:ind w:left="720" w:hanging="360"/>
      </w:pPr>
    </w:lvl>
    <w:lvl w:ilvl="1" w:tplc="D3308D34">
      <w:start w:val="1"/>
      <w:numFmt w:val="bullet"/>
      <w:lvlText w:val="○"/>
      <w:lvlJc w:val="left"/>
      <w:pPr>
        <w:ind w:left="1440" w:hanging="360"/>
      </w:pPr>
    </w:lvl>
    <w:lvl w:ilvl="2" w:tplc="ACA24382">
      <w:start w:val="1"/>
      <w:numFmt w:val="bullet"/>
      <w:lvlText w:val="■"/>
      <w:lvlJc w:val="left"/>
      <w:pPr>
        <w:ind w:left="2160" w:hanging="360"/>
      </w:pPr>
    </w:lvl>
    <w:lvl w:ilvl="3" w:tplc="461E39FA">
      <w:start w:val="1"/>
      <w:numFmt w:val="bullet"/>
      <w:lvlText w:val="●"/>
      <w:lvlJc w:val="left"/>
      <w:pPr>
        <w:ind w:left="2880" w:hanging="360"/>
      </w:pPr>
    </w:lvl>
    <w:lvl w:ilvl="4" w:tplc="B44EC5BE">
      <w:start w:val="1"/>
      <w:numFmt w:val="bullet"/>
      <w:lvlText w:val="○"/>
      <w:lvlJc w:val="left"/>
      <w:pPr>
        <w:ind w:left="3600" w:hanging="360"/>
      </w:pPr>
    </w:lvl>
    <w:lvl w:ilvl="5" w:tplc="80D4A340">
      <w:start w:val="1"/>
      <w:numFmt w:val="bullet"/>
      <w:lvlText w:val="■"/>
      <w:lvlJc w:val="left"/>
      <w:pPr>
        <w:ind w:left="4320" w:hanging="360"/>
      </w:pPr>
    </w:lvl>
    <w:lvl w:ilvl="6" w:tplc="6F1E69AA">
      <w:start w:val="1"/>
      <w:numFmt w:val="bullet"/>
      <w:lvlText w:val="●"/>
      <w:lvlJc w:val="left"/>
      <w:pPr>
        <w:ind w:left="5040" w:hanging="360"/>
      </w:pPr>
    </w:lvl>
    <w:lvl w:ilvl="7" w:tplc="2864D2B0">
      <w:start w:val="1"/>
      <w:numFmt w:val="bullet"/>
      <w:lvlText w:val="●"/>
      <w:lvlJc w:val="left"/>
      <w:pPr>
        <w:ind w:left="5760" w:hanging="360"/>
      </w:pPr>
    </w:lvl>
    <w:lvl w:ilvl="8" w:tplc="5ACCAAFC">
      <w:start w:val="1"/>
      <w:numFmt w:val="bullet"/>
      <w:lvlText w:val="●"/>
      <w:lvlJc w:val="left"/>
      <w:pPr>
        <w:ind w:left="6480" w:hanging="360"/>
      </w:pPr>
    </w:lvl>
  </w:abstractNum>
  <w:abstractNum w:abstractNumId="2" w15:restartNumberingAfterBreak="0">
    <w:nsid w:val="516009E5"/>
    <w:multiLevelType w:val="hybridMultilevel"/>
    <w:tmpl w:val="86D06E00"/>
    <w:lvl w:ilvl="0" w:tplc="6E448B4A">
      <w:start w:val="1"/>
      <w:numFmt w:val="decimal"/>
      <w:lvlText w:val="%1."/>
      <w:lvlJc w:val="left"/>
      <w:pPr>
        <w:ind w:left="720" w:hanging="360"/>
      </w:pPr>
    </w:lvl>
    <w:lvl w:ilvl="1" w:tplc="215AE14C">
      <w:numFmt w:val="decimal"/>
      <w:lvlText w:val=""/>
      <w:lvlJc w:val="left"/>
    </w:lvl>
    <w:lvl w:ilvl="2" w:tplc="BA525262">
      <w:numFmt w:val="decimal"/>
      <w:lvlText w:val=""/>
      <w:lvlJc w:val="left"/>
    </w:lvl>
    <w:lvl w:ilvl="3" w:tplc="0D7470E4">
      <w:numFmt w:val="decimal"/>
      <w:lvlText w:val=""/>
      <w:lvlJc w:val="left"/>
    </w:lvl>
    <w:lvl w:ilvl="4" w:tplc="3D96F488">
      <w:numFmt w:val="decimal"/>
      <w:lvlText w:val=""/>
      <w:lvlJc w:val="left"/>
    </w:lvl>
    <w:lvl w:ilvl="5" w:tplc="B5AE6134">
      <w:numFmt w:val="decimal"/>
      <w:lvlText w:val=""/>
      <w:lvlJc w:val="left"/>
    </w:lvl>
    <w:lvl w:ilvl="6" w:tplc="71508828">
      <w:numFmt w:val="decimal"/>
      <w:lvlText w:val=""/>
      <w:lvlJc w:val="left"/>
    </w:lvl>
    <w:lvl w:ilvl="7" w:tplc="C73600E8">
      <w:numFmt w:val="decimal"/>
      <w:lvlText w:val=""/>
      <w:lvlJc w:val="left"/>
    </w:lvl>
    <w:lvl w:ilvl="8" w:tplc="44C474BA">
      <w:numFmt w:val="decimal"/>
      <w:lvlText w:val=""/>
      <w:lvlJc w:val="left"/>
    </w:lvl>
  </w:abstractNum>
  <w:num w:numId="1" w16cid:durableId="1667827943">
    <w:abstractNumId w:val="1"/>
    <w:lvlOverride w:ilvl="0">
      <w:startOverride w:val="1"/>
    </w:lvlOverride>
  </w:num>
  <w:num w:numId="2" w16cid:durableId="522550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CE2"/>
    <w:rsid w:val="008F6CE2"/>
    <w:rsid w:val="00C14701"/>
    <w:rsid w:val="00DA488C"/>
    <w:rsid w:val="00F36A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F22F"/>
  <w15:docId w15:val="{E932B116-05A2-4169-B4BC-DD8CE82D2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3864"/>
      <w:sz w:val="30"/>
      <w:szCs w:val="30"/>
    </w:rPr>
  </w:style>
  <w:style w:type="paragraph" w:styleId="Ttulo2">
    <w:name w:val="heading 2"/>
    <w:uiPriority w:val="9"/>
    <w:unhideWhenUsed/>
    <w:qFormat/>
    <w:pPr>
      <w:spacing w:before="260" w:after="160"/>
      <w:outlineLvl w:val="1"/>
    </w:pPr>
    <w:rPr>
      <w:b/>
      <w:bCs/>
      <w:color w:val="1F3864"/>
      <w:sz w:val="26"/>
      <w:szCs w:val="26"/>
    </w:rPr>
  </w:style>
  <w:style w:type="paragraph" w:styleId="Ttulo3">
    <w:name w:val="heading 3"/>
    <w:uiPriority w:val="9"/>
    <w:unhideWhenUsed/>
    <w:qFormat/>
    <w:pPr>
      <w:spacing w:before="220" w:after="140"/>
      <w:outlineLvl w:val="2"/>
    </w:pPr>
    <w:rPr>
      <w:b/>
      <w:bCs/>
      <w:color w:val="2E549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1141</Words>
  <Characters>6281</Characters>
  <Application>Microsoft Office Word</Application>
  <DocSecurity>0</DocSecurity>
  <Lines>52</Lines>
  <Paragraphs>14</Paragraphs>
  <ScaleCrop>false</ScaleCrop>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2026-04-19T10:16:00Z</dcterms:created>
  <dcterms:modified xsi:type="dcterms:W3CDTF">2026-04-19T10:16:00Z</dcterms:modified>
</cp:coreProperties>
</file>