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E37AB" w14:textId="77777777" w:rsidR="004B3850" w:rsidRDefault="006C3FE8">
      <w:pPr>
        <w:spacing w:before="800" w:after="200"/>
        <w:jc w:val="center"/>
      </w:pPr>
      <w:r>
        <w:rPr>
          <w:b/>
          <w:bCs/>
          <w:color w:val="1F3864"/>
          <w:sz w:val="52"/>
          <w:szCs w:val="52"/>
        </w:rPr>
        <w:t>PERTE VEC</w:t>
      </w:r>
    </w:p>
    <w:p w14:paraId="6C9A67C5" w14:textId="77777777" w:rsidR="004B3850" w:rsidRDefault="006C3FE8">
      <w:pPr>
        <w:spacing w:after="160"/>
        <w:jc w:val="center"/>
      </w:pPr>
      <w:r>
        <w:rPr>
          <w:i/>
          <w:iCs/>
          <w:sz w:val="28"/>
          <w:szCs w:val="28"/>
        </w:rPr>
        <w:t>Informe metodológico de evaluación de impacto</w:t>
      </w:r>
    </w:p>
    <w:p w14:paraId="7A8BE9CC" w14:textId="77777777" w:rsidR="004B3850" w:rsidRDefault="006C3FE8">
      <w:pPr>
        <w:spacing w:after="120"/>
        <w:jc w:val="center"/>
      </w:pPr>
      <w:r>
        <w:rPr>
          <w:color w:val="555555"/>
          <w:sz w:val="24"/>
          <w:szCs w:val="24"/>
        </w:rPr>
        <w:t>Evaluación de impacto según tipo de proyecto</w:t>
      </w:r>
    </w:p>
    <w:p w14:paraId="6495336A" w14:textId="77777777" w:rsidR="004B3850" w:rsidRDefault="004B3850">
      <w:pPr>
        <w:spacing w:after="120"/>
      </w:pPr>
    </w:p>
    <w:p w14:paraId="4AE25089" w14:textId="77777777" w:rsidR="004B3850" w:rsidRDefault="004B3850">
      <w:pPr>
        <w:spacing w:after="120"/>
      </w:pPr>
    </w:p>
    <w:p w14:paraId="6738683E" w14:textId="77777777" w:rsidR="004B3850" w:rsidRDefault="006C3FE8">
      <w:pPr>
        <w:spacing w:after="80"/>
        <w:jc w:val="center"/>
      </w:pPr>
      <w:r>
        <w:rPr>
          <w:b/>
          <w:bCs/>
        </w:rPr>
        <w:t>Este documento se organiza en dos partes:</w:t>
      </w:r>
    </w:p>
    <w:p w14:paraId="7A03EF82" w14:textId="77777777" w:rsidR="004B3850" w:rsidRDefault="006C3FE8">
      <w:pPr>
        <w:spacing w:after="80"/>
        <w:jc w:val="center"/>
      </w:pPr>
      <w:r>
        <w:t>Parte I — Informe para la gestión (secciones 1 a 15)</w:t>
      </w:r>
    </w:p>
    <w:p w14:paraId="04083807" w14:textId="77777777" w:rsidR="004B3850" w:rsidRDefault="006C3FE8">
      <w:pPr>
        <w:spacing w:after="80"/>
        <w:jc w:val="center"/>
      </w:pPr>
      <w:r>
        <w:t>Parte II — Anexos técnicos (Anexos A, B, C y D)</w:t>
      </w:r>
    </w:p>
    <w:p w14:paraId="4A5A2A4D" w14:textId="77777777" w:rsidR="004B3850" w:rsidRDefault="006C3FE8">
      <w:pPr>
        <w:spacing w:after="80"/>
        <w:jc w:val="center"/>
      </w:pPr>
      <w:r>
        <w:rPr>
          <w:i/>
          <w:iCs/>
          <w:color w:val="555555"/>
          <w:sz w:val="20"/>
          <w:szCs w:val="20"/>
        </w:rPr>
        <w:t>La Parte I está escrita para ser leída sin conocimientos de estadística.</w:t>
      </w:r>
    </w:p>
    <w:p w14:paraId="0015A9F0" w14:textId="77777777" w:rsidR="004B3850" w:rsidRDefault="006C3FE8">
      <w:pPr>
        <w:spacing w:after="80"/>
        <w:jc w:val="center"/>
      </w:pPr>
      <w:r>
        <w:rPr>
          <w:i/>
          <w:iCs/>
          <w:color w:val="555555"/>
          <w:sz w:val="20"/>
          <w:szCs w:val="20"/>
        </w:rPr>
        <w:t>La Parte II contiene el detalle técnico para el equipo de estimación.</w:t>
      </w:r>
    </w:p>
    <w:p w14:paraId="5A25071F" w14:textId="77777777" w:rsidR="004B3850" w:rsidRDefault="006C3FE8">
      <w:r>
        <w:br/>
      </w:r>
    </w:p>
    <w:p w14:paraId="598F0D2C" w14:textId="77777777" w:rsidR="004B3850" w:rsidRDefault="006C3FE8">
      <w:pPr>
        <w:spacing w:before="200" w:after="300"/>
        <w:jc w:val="center"/>
      </w:pPr>
      <w:r>
        <w:rPr>
          <w:b/>
          <w:bCs/>
          <w:color w:val="1F3864"/>
          <w:sz w:val="32"/>
          <w:szCs w:val="32"/>
        </w:rPr>
        <w:t>PARTE I</w:t>
      </w:r>
    </w:p>
    <w:p w14:paraId="5FF94173" w14:textId="77777777" w:rsidR="004B3850" w:rsidRDefault="006C3FE8">
      <w:pPr>
        <w:spacing w:after="400"/>
        <w:jc w:val="center"/>
      </w:pPr>
      <w:r>
        <w:rPr>
          <w:b/>
          <w:bCs/>
          <w:color w:val="1F3864"/>
          <w:sz w:val="26"/>
          <w:szCs w:val="26"/>
        </w:rPr>
        <w:t>Informe para la gestión</w:t>
      </w:r>
    </w:p>
    <w:p w14:paraId="7850CB44" w14:textId="77777777" w:rsidR="004B3850" w:rsidRDefault="006C3FE8">
      <w:pPr>
        <w:pStyle w:val="Ttulo1"/>
      </w:pPr>
      <w:r>
        <w:t>Resumen ejecutivo</w:t>
      </w:r>
    </w:p>
    <w:p w14:paraId="4E92DE86" w14:textId="77777777" w:rsidR="004B3850" w:rsidRDefault="006C3FE8">
      <w:pPr>
        <w:spacing w:after="160"/>
        <w:jc w:val="both"/>
      </w:pPr>
      <w:r>
        <w:t>Este informe explica cómo se va a medir el impacto del PERTE VEC sobre las empresas beneficiarias. La evaluación responde a dos preguntas complementarias. La primera es qué está cambiando dentro de las propias empresas: si están mejorando su capacidad para adoptar nuevas tecnologías, si avanzan en digitalización, automatización y sostenibilidad, y si todo eso se traduce en una mejor posición en la cadena de valor del vehículo eléctrico. La segunda es si esos cambios se pueden atribuir al programa: si las be</w:t>
      </w:r>
      <w:r>
        <w:t>neficiarias evolucionan mejor de lo que lo habrían hecho sin la ayuda del PERTE VEC.</w:t>
      </w:r>
    </w:p>
    <w:p w14:paraId="736F8707" w14:textId="77777777" w:rsidR="004B3850" w:rsidRDefault="006C3FE8">
      <w:pPr>
        <w:spacing w:after="160"/>
        <w:jc w:val="both"/>
      </w:pPr>
      <w:r>
        <w:t>Para responder a esas preguntas se utilizan dos métodos complementarios. El primero analiza la evolución interna de cada empresa a lo largo del tiempo, comparando cómo estaba antes y después de recibir el apoyo del programa. El segundo compara a las empresas beneficiarias con un grupo de empresas similares no tratadas procedentes de SABI, aplicando el método de Diferencias en Diferencias (</w:t>
      </w:r>
      <w:proofErr w:type="spellStart"/>
      <w:r>
        <w:t>DiD</w:t>
      </w:r>
      <w:proofErr w:type="spellEnd"/>
      <w:r>
        <w:t>): si las beneficiarias mejoran más que las comparables después de recibir la subvención, esa diferencia se atribuye al efecto del programa. El control sintético se usa para construir el grupo de comparación más riguroso posible, seleccionando y ponderando las empresas de SABI de forma que su trayectoria previa al programa sea lo más parecida posible a la de las beneficiarias.</w:t>
      </w:r>
    </w:p>
    <w:p w14:paraId="189C1B45" w14:textId="77777777" w:rsidR="004B3850" w:rsidRDefault="006C3FE8">
      <w:pPr>
        <w:spacing w:after="160"/>
        <w:jc w:val="both"/>
      </w:pPr>
      <w:r>
        <w:t>La lógica que guía todo el análisis es la siguiente: una empresa aprovecha mejor la ayuda cuando tiene capacidades internas suficientes para absorber y aplicar lo que aprende; esas capacidades facilitan la digitalización; la digitalización impulsa la automatización y los cambios en sostenibilidad; y el conjunto de esas transformaciones mejora la posición de la empresa en el ecosistema productivo del vehículo eléctrico.</w:t>
      </w:r>
    </w:p>
    <w:p w14:paraId="37CEE622" w14:textId="77777777" w:rsidR="004B3850" w:rsidRDefault="006C3FE8">
      <w:pPr>
        <w:pStyle w:val="Ttulo1"/>
      </w:pPr>
      <w:r>
        <w:t>1. Objeto y utilidad del informe</w:t>
      </w:r>
    </w:p>
    <w:p w14:paraId="175F6572" w14:textId="77777777" w:rsidR="004B3850" w:rsidRDefault="006C3FE8">
      <w:pPr>
        <w:spacing w:after="160"/>
        <w:jc w:val="both"/>
      </w:pPr>
      <w:r>
        <w:lastRenderedPageBreak/>
        <w:t>El objetivo de este informe es presentar, de forma comprensible, cómo se va a llevar a cabo la evaluación de impacto del PERTE VEC distinguiendo por tipo de proyecto. Surge de la experiencia acumulada en la prueba de evaluación ya realizada y recoge las decisiones metodológicas que guiarán la fase definitiva de estimación.</w:t>
      </w:r>
    </w:p>
    <w:p w14:paraId="41C377A4" w14:textId="77777777" w:rsidR="004B3850" w:rsidRDefault="006C3FE8">
      <w:pPr>
        <w:spacing w:after="160"/>
        <w:jc w:val="both"/>
      </w:pPr>
      <w:r>
        <w:t>El documento está pensado para dos tipos de lectores. Las secciones 1 a 15 están escritas para gestores y responsables del programa que necesitan entender qué se mide, por qué y qué conclusiones se pueden extraer, sin necesidad de conocimientos técnicos en estadística o econometría. Los anexos A, B, C y D contienen el detalle técnico para el equipo que ejecutará la estimación.</w:t>
      </w:r>
    </w:p>
    <w:p w14:paraId="02D1B562" w14:textId="77777777" w:rsidR="004B3850" w:rsidRDefault="006C3FE8">
      <w:pPr>
        <w:pStyle w:val="Ttulo1"/>
      </w:pPr>
      <w:r>
        <w:t>2. ¿Qué se evalúa?</w:t>
      </w:r>
    </w:p>
    <w:p w14:paraId="42282C2B" w14:textId="77777777" w:rsidR="004B3850" w:rsidRDefault="006C3FE8">
      <w:pPr>
        <w:spacing w:after="160"/>
        <w:jc w:val="both"/>
      </w:pPr>
      <w:r>
        <w:t>La pregunta central de la evaluación es la misma que en fases anteriores: ¿en qué medida el PERTE VEC ha contribuido a transformar a las empresas beneficiarias? A esa pregunta se añade ahora una segunda: ¿esa transformación varía según el tipo de proyecto financiado?</w:t>
      </w:r>
    </w:p>
    <w:p w14:paraId="1A3356FA" w14:textId="77777777" w:rsidR="004B3850" w:rsidRDefault="006C3FE8">
      <w:pPr>
        <w:spacing w:after="160"/>
        <w:jc w:val="both"/>
      </w:pPr>
      <w:r>
        <w:t>De esas dos preguntas principales se derivan cuatro preguntas más concretas que la evaluación intentará responder:</w:t>
      </w:r>
    </w:p>
    <w:p w14:paraId="3E9C67C6" w14:textId="77777777" w:rsidR="004B3850" w:rsidRDefault="006C3FE8">
      <w:pPr>
        <w:pStyle w:val="Prrafodelista"/>
        <w:numPr>
          <w:ilvl w:val="0"/>
          <w:numId w:val="2"/>
        </w:numPr>
        <w:spacing w:after="100"/>
        <w:jc w:val="both"/>
      </w:pPr>
      <w:r>
        <w:t>¿Qué tipos de proyecto generan con más claridad cambios internos en la empresa?</w:t>
      </w:r>
    </w:p>
    <w:p w14:paraId="1145DE31" w14:textId="77777777" w:rsidR="004B3850" w:rsidRDefault="006C3FE8">
      <w:pPr>
        <w:pStyle w:val="Prrafodelista"/>
        <w:numPr>
          <w:ilvl w:val="0"/>
          <w:numId w:val="2"/>
        </w:numPr>
        <w:spacing w:after="100"/>
        <w:jc w:val="both"/>
      </w:pPr>
      <w:r>
        <w:t xml:space="preserve">¿Qué mecanismos son más importantes: </w:t>
      </w:r>
      <w:proofErr w:type="gramStart"/>
      <w:r>
        <w:t>la formación y las capacidades internas, la digitalización, la automatización, la sostenibilidad, o una combinación de varios?</w:t>
      </w:r>
      <w:proofErr w:type="gramEnd"/>
    </w:p>
    <w:p w14:paraId="4069A750" w14:textId="77777777" w:rsidR="004B3850" w:rsidRDefault="006C3FE8">
      <w:pPr>
        <w:pStyle w:val="Prrafodelista"/>
        <w:numPr>
          <w:ilvl w:val="0"/>
          <w:numId w:val="2"/>
        </w:numPr>
        <w:spacing w:after="100"/>
        <w:jc w:val="both"/>
      </w:pPr>
      <w:r>
        <w:t>¿Una mayor intensidad de ayuda —más recursos invertidos por empresa— se asocia con cambios más intensos?</w:t>
      </w:r>
    </w:p>
    <w:p w14:paraId="304473AB" w14:textId="77777777" w:rsidR="004B3850" w:rsidRDefault="006C3FE8">
      <w:pPr>
        <w:pStyle w:val="Prrafodelista"/>
        <w:numPr>
          <w:ilvl w:val="0"/>
          <w:numId w:val="2"/>
        </w:numPr>
        <w:spacing w:after="100"/>
        <w:jc w:val="both"/>
      </w:pPr>
      <w:r>
        <w:t>¿Los cambios observados pueden atribuirse razonablemente al programa, o se habrían producido igualmente sin él?</w:t>
      </w:r>
    </w:p>
    <w:p w14:paraId="4D162529" w14:textId="77777777" w:rsidR="004B3850" w:rsidRDefault="006C3FE8">
      <w:pPr>
        <w:pStyle w:val="Ttulo1"/>
      </w:pPr>
      <w:r>
        <w:t>3. Base de partida</w:t>
      </w:r>
    </w:p>
    <w:p w14:paraId="659C7F04" w14:textId="77777777" w:rsidR="004B3850" w:rsidRDefault="006C3FE8">
      <w:pPr>
        <w:spacing w:after="160"/>
        <w:jc w:val="both"/>
      </w:pPr>
      <w:r>
        <w:t>La evaluación combina dos tipos de análisis que se complementan entre sí. El análisis interno examina cómo evoluciona cada empresa beneficiaria a lo largo del tiempo: si mejora en las dimensiones que el programa pretende impulsar y qué mecanismos parecen más activos. El análisis externo contrasta si esa evolución es mejor de lo que cabría esperar sin el programa, comparando a las beneficiarias con empresas similares que no han participado en él.</w:t>
      </w:r>
    </w:p>
    <w:p w14:paraId="3FC1B696" w14:textId="77777777" w:rsidR="004B3850" w:rsidRDefault="006C3FE8">
      <w:pPr>
        <w:spacing w:after="160"/>
        <w:jc w:val="both"/>
      </w:pPr>
      <w:r>
        <w:t>Usar solo el análisis interno sería insuficiente: una empresa puede mejorar por razones ajenas al programa (la recuperación del sector, una tendencia favorable del mercado, decisiones propias de inversión). Usar solo el externo sería también incompleto: permite saber si hubo impacto, pero no por qué ni a través de qué mecanismos. La combinación de ambos ofrece una imagen más completa y útil para la gestión.</w:t>
      </w:r>
    </w:p>
    <w:p w14:paraId="0586752F" w14:textId="77777777" w:rsidR="004B3850" w:rsidRDefault="006C3FE8">
      <w:pPr>
        <w:spacing w:after="160"/>
        <w:jc w:val="both"/>
      </w:pPr>
      <w:r>
        <w:t>Además, se analizará si los efectos son distintos según el tipo de proyecto financiado, porque no es razonable esperar que un proyecto de formación y uno de sostenibilidad actúen por los mismos canales ni con la misma velocidad.</w:t>
      </w:r>
    </w:p>
    <w:p w14:paraId="124A33A4" w14:textId="77777777" w:rsidR="004B3850" w:rsidRDefault="006C3FE8">
      <w:pPr>
        <w:pStyle w:val="Ttulo1"/>
      </w:pPr>
      <w:r>
        <w:t>4. Tipos de proyecto utilizados en la evaluación</w:t>
      </w:r>
    </w:p>
    <w:p w14:paraId="43ABCA75" w14:textId="77777777" w:rsidR="004B3850" w:rsidRDefault="006C3FE8">
      <w:pPr>
        <w:spacing w:after="160"/>
        <w:jc w:val="both"/>
      </w:pPr>
      <w:r>
        <w:t>Para facilitar la comparación entre distintos tipos de actuación, los proyectos del PERTE VEC se agrupan en cinco familias. Esta agrupación simplifica el análisis sin perder la esencia de lo que hace cada tipo de proyecto.</w:t>
      </w:r>
    </w:p>
    <w:p w14:paraId="3082C6F7"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400"/>
      </w:tblGrid>
      <w:tr w:rsidR="004B3850" w14:paraId="3713747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417D11E" w14:textId="77777777" w:rsidR="004B3850" w:rsidRDefault="006C3FE8">
            <w:r>
              <w:rPr>
                <w:b/>
                <w:bCs/>
                <w:color w:val="FFFFFF"/>
                <w:sz w:val="19"/>
                <w:szCs w:val="19"/>
              </w:rPr>
              <w:t>Tipología</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0BE2824" w14:textId="77777777" w:rsidR="004B3850" w:rsidRDefault="006C3FE8">
            <w:r>
              <w:rPr>
                <w:b/>
                <w:bCs/>
                <w:color w:val="FFFFFF"/>
                <w:sz w:val="19"/>
                <w:szCs w:val="19"/>
              </w:rPr>
              <w:t>Qué incluye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A16C86A" w14:textId="77777777" w:rsidR="004B3850" w:rsidRDefault="006C3FE8">
            <w:r>
              <w:rPr>
                <w:b/>
                <w:bCs/>
                <w:color w:val="FFFFFF"/>
                <w:sz w:val="19"/>
                <w:szCs w:val="19"/>
              </w:rPr>
              <w:t>Lógica principal</w:t>
            </w:r>
          </w:p>
        </w:tc>
      </w:tr>
      <w:tr w:rsidR="004B3850" w14:paraId="053DF91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678034" w14:textId="77777777" w:rsidR="004B3850" w:rsidRDefault="006C3FE8">
            <w:r>
              <w:rPr>
                <w:color w:val="000000"/>
                <w:sz w:val="20"/>
                <w:szCs w:val="20"/>
              </w:rPr>
              <w:lastRenderedPageBreak/>
              <w:t>Investigación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ADFA3F" w14:textId="77777777" w:rsidR="004B3850" w:rsidRDefault="006C3FE8">
            <w:r>
              <w:rPr>
                <w:color w:val="000000"/>
                <w:sz w:val="20"/>
                <w:szCs w:val="20"/>
              </w:rPr>
              <w:t>Investigación industrial y estudios de viabilidad</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66614F0" w14:textId="77777777" w:rsidR="004B3850" w:rsidRDefault="006C3FE8">
            <w:r>
              <w:rPr>
                <w:color w:val="000000"/>
                <w:sz w:val="20"/>
                <w:szCs w:val="20"/>
              </w:rPr>
              <w:t>Generar nuevo conocimiento y madurar tecnologías</w:t>
            </w:r>
          </w:p>
        </w:tc>
      </w:tr>
      <w:tr w:rsidR="004B3850" w14:paraId="067F7DD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5894F74" w14:textId="77777777" w:rsidR="004B3850" w:rsidRDefault="006C3FE8">
            <w:r>
              <w:rPr>
                <w:color w:val="000000"/>
                <w:sz w:val="20"/>
                <w:szCs w:val="20"/>
              </w:rPr>
              <w:t>Desarrollo</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FB9F126" w14:textId="77777777" w:rsidR="004B3850" w:rsidRDefault="006C3FE8">
            <w:r>
              <w:rPr>
                <w:color w:val="000000"/>
                <w:sz w:val="20"/>
                <w:szCs w:val="20"/>
              </w:rPr>
              <w:t>Desarrollo experimental hasta el prototipo</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B65411B" w14:textId="77777777" w:rsidR="004B3850" w:rsidRDefault="006C3FE8">
            <w:r>
              <w:rPr>
                <w:color w:val="000000"/>
                <w:sz w:val="20"/>
                <w:szCs w:val="20"/>
              </w:rPr>
              <w:t>Llevar soluciones hacia el producto o proceso real</w:t>
            </w:r>
          </w:p>
        </w:tc>
      </w:tr>
      <w:tr w:rsidR="004B3850" w14:paraId="4B88EA9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0BF440" w14:textId="77777777" w:rsidR="004B3850" w:rsidRDefault="006C3FE8">
            <w:r>
              <w:rPr>
                <w:color w:val="000000"/>
                <w:sz w:val="20"/>
                <w:szCs w:val="20"/>
              </w:rPr>
              <w:t>Formación</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A63635" w14:textId="77777777" w:rsidR="004B3850" w:rsidRDefault="006C3FE8">
            <w:r>
              <w:rPr>
                <w:color w:val="000000"/>
                <w:sz w:val="20"/>
                <w:szCs w:val="20"/>
              </w:rPr>
              <w:t>Formación de trabajadores vinculada al proyecto</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7A6BDE" w14:textId="77777777" w:rsidR="004B3850" w:rsidRDefault="006C3FE8">
            <w:r>
              <w:rPr>
                <w:color w:val="000000"/>
                <w:sz w:val="20"/>
                <w:szCs w:val="20"/>
              </w:rPr>
              <w:t>Desarrollar el capital humano necesario para la transformación</w:t>
            </w:r>
          </w:p>
        </w:tc>
      </w:tr>
      <w:tr w:rsidR="004B3850" w14:paraId="08F48BC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E9D16AC" w14:textId="77777777" w:rsidR="004B3850" w:rsidRDefault="006C3FE8">
            <w:r>
              <w:rPr>
                <w:color w:val="000000"/>
                <w:sz w:val="20"/>
                <w:szCs w:val="20"/>
              </w:rPr>
              <w:t>Innovación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B7BA092" w14:textId="77777777" w:rsidR="004B3850" w:rsidRDefault="006C3FE8">
            <w:r>
              <w:rPr>
                <w:color w:val="000000"/>
                <w:sz w:val="20"/>
                <w:szCs w:val="20"/>
              </w:rPr>
              <w:t>Innovación en procesos y organización</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0CBE3F1" w14:textId="77777777" w:rsidR="004B3850" w:rsidRDefault="006C3FE8">
            <w:r>
              <w:rPr>
                <w:color w:val="000000"/>
                <w:sz w:val="20"/>
                <w:szCs w:val="20"/>
              </w:rPr>
              <w:t>Mejorar la eficiencia operativa y la gestión</w:t>
            </w:r>
          </w:p>
        </w:tc>
      </w:tr>
      <w:tr w:rsidR="004B3850" w14:paraId="4D1672F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A2914E" w14:textId="77777777" w:rsidR="004B3850" w:rsidRDefault="006C3FE8">
            <w:r>
              <w:rPr>
                <w:color w:val="000000"/>
                <w:sz w:val="20"/>
                <w:szCs w:val="20"/>
              </w:rPr>
              <w:t>Sostenibilidad</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AD3287" w14:textId="77777777" w:rsidR="004B3850" w:rsidRDefault="006C3FE8">
            <w:r>
              <w:rPr>
                <w:color w:val="000000"/>
                <w:sz w:val="20"/>
                <w:szCs w:val="20"/>
              </w:rPr>
              <w:t>Proyectos de eficiencia energética y reducción de emisiones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78530A" w14:textId="77777777" w:rsidR="004B3850" w:rsidRDefault="006C3FE8">
            <w:r>
              <w:rPr>
                <w:color w:val="000000"/>
                <w:sz w:val="20"/>
                <w:szCs w:val="20"/>
              </w:rPr>
              <w:t>Adaptar los procesos a los estándares ambientales del sector</w:t>
            </w:r>
          </w:p>
        </w:tc>
      </w:tr>
    </w:tbl>
    <w:p w14:paraId="71460AE8" w14:textId="77777777" w:rsidR="004B3850" w:rsidRDefault="004B3850">
      <w:pPr>
        <w:spacing w:after="120"/>
      </w:pPr>
    </w:p>
    <w:p w14:paraId="271D4C8F" w14:textId="77777777" w:rsidR="004B3850" w:rsidRDefault="006C3FE8">
      <w:pPr>
        <w:spacing w:after="160"/>
        <w:jc w:val="both"/>
      </w:pPr>
      <w:r>
        <w:t>Esta clasificación es importante porque la evaluación no busca solo saber si el programa funciona en su conjunto, sino también qué tipo de proyecto produce mejores resultados y en qué dimensión de la empresa.</w:t>
      </w:r>
    </w:p>
    <w:p w14:paraId="2A0EE18B" w14:textId="77777777" w:rsidR="004B3850" w:rsidRDefault="006C3FE8">
      <w:pPr>
        <w:pStyle w:val="Ttulo1"/>
      </w:pPr>
      <w:r>
        <w:t>5. El modelo de evaluación</w:t>
      </w:r>
    </w:p>
    <w:p w14:paraId="17EF51F0" w14:textId="77777777" w:rsidR="004B3850" w:rsidRDefault="006C3FE8">
      <w:pPr>
        <w:spacing w:after="160"/>
        <w:jc w:val="both"/>
      </w:pPr>
      <w:r>
        <w:t>El marco oficial del PERTE VEC organiza sus objetivos en cuatro grandes áreas: transformación de la cadena de valor, modernización, transformación del sistema productivo y capacidad competitiva. Ese marco es muy útil para explicar el programa y rendir cuentas. Sin embargo, cuando se analizan los datos de la encuesta a las empresas beneficiarias, las respuestas no siempre se agrupan siguiendo esas mismas categorías de forma limpia.</w:t>
      </w:r>
    </w:p>
    <w:p w14:paraId="53271FC1" w14:textId="77777777" w:rsidR="004B3850" w:rsidRDefault="006C3FE8">
      <w:pPr>
        <w:spacing w:after="160"/>
        <w:jc w:val="both"/>
      </w:pPr>
      <w:r>
        <w:t>Por eso, para la estimación del impacto se trabaja con cinco dimensiones que emergen directamente de los datos y que son más cercanas a la realidad operativa de las empresas. Estas cinco dimensiones no sustituyen a los objetivos del programa; simplemente los traducen a un lenguaje más adecuado para medir el cambio real.</w:t>
      </w:r>
    </w:p>
    <w:p w14:paraId="1EFA1877" w14:textId="77777777" w:rsidR="004B3850" w:rsidRDefault="006C3FE8">
      <w:pPr>
        <w:pStyle w:val="Ttulo1"/>
      </w:pPr>
      <w:r>
        <w:t>6. Las cinco dimensiones del modelo</w:t>
      </w:r>
    </w:p>
    <w:p w14:paraId="7B894F8A" w14:textId="77777777" w:rsidR="004B3850" w:rsidRDefault="006C3FE8">
      <w:pPr>
        <w:spacing w:after="160"/>
        <w:jc w:val="both"/>
      </w:pPr>
      <w:r>
        <w:t>Las cinco dimensiones que estructuran el modelo de evaluación son las siguientes. Lo más importante es entender que no son independientes entre sí: forman una secuencia lógica en la que cada una facilita la siguiente.</w:t>
      </w:r>
    </w:p>
    <w:p w14:paraId="5DBD57D1"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600"/>
      </w:tblGrid>
      <w:tr w:rsidR="004B3850" w14:paraId="760F880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3DEE257" w14:textId="77777777" w:rsidR="004B3850" w:rsidRDefault="006C3FE8">
            <w:r>
              <w:rPr>
                <w:b/>
                <w:bCs/>
                <w:color w:val="FFFFFF"/>
                <w:sz w:val="19"/>
                <w:szCs w:val="19"/>
              </w:rPr>
              <w:t>Dimensión</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89DEF48" w14:textId="77777777" w:rsidR="004B3850" w:rsidRDefault="006C3FE8">
            <w:r>
              <w:rPr>
                <w:b/>
                <w:bCs/>
                <w:color w:val="FFFFFF"/>
                <w:sz w:val="19"/>
                <w:szCs w:val="19"/>
              </w:rPr>
              <w:t>Qué mide</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DF18887" w14:textId="77777777" w:rsidR="004B3850" w:rsidRDefault="006C3FE8">
            <w:r>
              <w:rPr>
                <w:b/>
                <w:bCs/>
                <w:color w:val="FFFFFF"/>
                <w:sz w:val="19"/>
                <w:szCs w:val="19"/>
              </w:rPr>
              <w:t>Cómo se interpreta</w:t>
            </w:r>
          </w:p>
        </w:tc>
      </w:tr>
      <w:tr w:rsidR="004B3850" w14:paraId="455BF51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E30881" w14:textId="77777777" w:rsidR="004B3850" w:rsidRDefault="006C3FE8">
            <w:r>
              <w:rPr>
                <w:color w:val="000000"/>
                <w:sz w:val="20"/>
                <w:szCs w:val="20"/>
              </w:rPr>
              <w:t>Capacidad de absorción (ABSCAP)</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CA161A" w14:textId="77777777" w:rsidR="004B3850" w:rsidRDefault="006C3FE8">
            <w:r>
              <w:rPr>
                <w:color w:val="000000"/>
                <w:sz w:val="20"/>
                <w:szCs w:val="20"/>
              </w:rPr>
              <w:t>Si la empresa tiene las personas, la organización y las competencias para aprender y aplicar nuevas tecnologías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BECA19" w14:textId="77777777" w:rsidR="004B3850" w:rsidRDefault="006C3FE8">
            <w:r>
              <w:rPr>
                <w:color w:val="000000"/>
                <w:sz w:val="20"/>
                <w:szCs w:val="20"/>
              </w:rPr>
              <w:t>Es la base: sin esta capacidad, las demás mejoras son más difíciles de conseguir</w:t>
            </w:r>
          </w:p>
        </w:tc>
      </w:tr>
      <w:tr w:rsidR="004B3850" w14:paraId="30E25E8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3D5CB7E" w14:textId="77777777" w:rsidR="004B3850" w:rsidRDefault="006C3FE8">
            <w:r>
              <w:rPr>
                <w:color w:val="000000"/>
                <w:sz w:val="20"/>
                <w:szCs w:val="20"/>
              </w:rPr>
              <w:t>Digitalización integrada (DIGINT)</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BEC88B2" w14:textId="77777777" w:rsidR="004B3850" w:rsidRDefault="006C3FE8">
            <w:r>
              <w:rPr>
                <w:color w:val="000000"/>
                <w:sz w:val="20"/>
                <w:szCs w:val="20"/>
              </w:rPr>
              <w:t>Si la empresa conecta sus sistemas de gestión, producción y relación con proveedores de forma digital</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C451277" w14:textId="77777777" w:rsidR="004B3850" w:rsidRDefault="006C3FE8">
            <w:r>
              <w:rPr>
                <w:color w:val="000000"/>
                <w:sz w:val="20"/>
                <w:szCs w:val="20"/>
              </w:rPr>
              <w:t>La digitalización bien implementada facilita los pasos siguientes: automatización y ecosistema</w:t>
            </w:r>
          </w:p>
        </w:tc>
      </w:tr>
      <w:tr w:rsidR="004B3850" w14:paraId="5EB1D8D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751789F" w14:textId="77777777" w:rsidR="004B3850" w:rsidRDefault="006C3FE8">
            <w:r>
              <w:rPr>
                <w:color w:val="000000"/>
                <w:sz w:val="20"/>
                <w:szCs w:val="20"/>
              </w:rPr>
              <w:t>Automatización avanzada (AUTO4)</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B8D5736" w14:textId="77777777" w:rsidR="004B3850" w:rsidRDefault="006C3FE8">
            <w:r>
              <w:rPr>
                <w:color w:val="000000"/>
                <w:sz w:val="20"/>
                <w:szCs w:val="20"/>
              </w:rPr>
              <w:t>Si la empresa ha incorporado robots, sensores, gemelos digitales u otras tecnologías de la industria 4.0</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577860" w14:textId="77777777" w:rsidR="004B3850" w:rsidRDefault="006C3FE8">
            <w:r>
              <w:rPr>
                <w:color w:val="000000"/>
                <w:sz w:val="20"/>
                <w:szCs w:val="20"/>
              </w:rPr>
              <w:t>Refleja el grado de modernización productiva profunda</w:t>
            </w:r>
          </w:p>
        </w:tc>
      </w:tr>
      <w:tr w:rsidR="004B3850" w14:paraId="0306DE7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7D85B0A" w14:textId="77777777" w:rsidR="004B3850" w:rsidRDefault="006C3FE8">
            <w:r>
              <w:rPr>
                <w:color w:val="000000"/>
                <w:sz w:val="20"/>
                <w:szCs w:val="20"/>
              </w:rPr>
              <w:t>Sostenibilidad operativa (SUSTOP)</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2296B8B" w14:textId="77777777" w:rsidR="004B3850" w:rsidRDefault="006C3FE8">
            <w:r>
              <w:rPr>
                <w:color w:val="000000"/>
                <w:sz w:val="20"/>
                <w:szCs w:val="20"/>
              </w:rPr>
              <w:t xml:space="preserve">Si la empresa ha mejorado su eficiencia energética, reducido </w:t>
            </w:r>
            <w:r>
              <w:rPr>
                <w:color w:val="000000"/>
                <w:sz w:val="20"/>
                <w:szCs w:val="20"/>
              </w:rPr>
              <w:lastRenderedPageBreak/>
              <w:t>emisiones o avanzado en gestión de residuos</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A0F9654" w14:textId="77777777" w:rsidR="004B3850" w:rsidRDefault="006C3FE8">
            <w:r>
              <w:rPr>
                <w:color w:val="000000"/>
                <w:sz w:val="20"/>
                <w:szCs w:val="20"/>
              </w:rPr>
              <w:lastRenderedPageBreak/>
              <w:t>Mide transformación ambiental real en los procesos, no solo compromisos formales</w:t>
            </w:r>
          </w:p>
        </w:tc>
      </w:tr>
      <w:tr w:rsidR="004B3850" w14:paraId="6A03A20F"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918626" w14:textId="77777777" w:rsidR="004B3850" w:rsidRDefault="006C3FE8">
            <w:r>
              <w:rPr>
                <w:color w:val="000000"/>
                <w:sz w:val="20"/>
                <w:szCs w:val="20"/>
              </w:rPr>
              <w:t>Ecosistema productivo (ECOS)</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D43082" w14:textId="77777777" w:rsidR="004B3850" w:rsidRDefault="006C3FE8">
            <w:r>
              <w:rPr>
                <w:color w:val="000000"/>
                <w:sz w:val="20"/>
                <w:szCs w:val="20"/>
              </w:rPr>
              <w:t>Si la empresa ha mejorado su capacidad para colaborar, integrarse en redes y generar relaciones estables con otros agentes</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D55A765" w14:textId="77777777" w:rsidR="004B3850" w:rsidRDefault="006C3FE8">
            <w:r>
              <w:rPr>
                <w:color w:val="000000"/>
                <w:sz w:val="20"/>
                <w:szCs w:val="20"/>
              </w:rPr>
              <w:t>Es el resultado final que el modelo busca explicar: la empresa como nodo activo en la cadena de valor del vehículo eléctrico</w:t>
            </w:r>
          </w:p>
        </w:tc>
      </w:tr>
    </w:tbl>
    <w:p w14:paraId="286D0785" w14:textId="77777777" w:rsidR="004B3850" w:rsidRDefault="004B3850">
      <w:pPr>
        <w:spacing w:after="120"/>
      </w:pPr>
    </w:p>
    <w:p w14:paraId="79C64CA2" w14:textId="77777777" w:rsidR="004B3850" w:rsidRDefault="006C3FE8">
      <w:pPr>
        <w:spacing w:after="160"/>
        <w:jc w:val="both"/>
      </w:pPr>
      <w:r>
        <w:t>La secuencia que conecta las cinco dimensiones puede resumirse así: una empresa que invierte en formación y desarrolla sus capacidades internas está en mejores condiciones de digitalizarse. Una empresa bien digitalizada puede avanzar más fácilmente hacia la automatización y hacia prácticas más sostenibles. Y una empresa que ha modernizado sus procesos de esta forma tiene más capacidad para colaborar con otras, integrarse en redes y fortalecer su posición en la cadena de valor del vehículo eléctrico.</w:t>
      </w:r>
    </w:p>
    <w:p w14:paraId="4776E274" w14:textId="77777777" w:rsidR="004B3850" w:rsidRDefault="006C3FE8">
      <w:pPr>
        <w:spacing w:after="160"/>
        <w:jc w:val="both"/>
      </w:pPr>
      <w:r>
        <w:t>Esta lógica tiene una implicación importante para el análisis: la capacidad de absorción (formación y competencias internas) es la dimensión más fundamental. Por eso aparece en todas las ecuaciones del modelo: sin ella, las demás mejoras son más difíciles de conseguir y de mantener.</w:t>
      </w:r>
    </w:p>
    <w:p w14:paraId="36DA62DE" w14:textId="77777777" w:rsidR="004B3850" w:rsidRDefault="006C3FE8">
      <w:pPr>
        <w:pStyle w:val="Ttulo1"/>
      </w:pPr>
      <w:r>
        <w:t>7. El modelo: qué se estima y por qué</w:t>
      </w:r>
    </w:p>
    <w:p w14:paraId="730FB99C" w14:textId="77777777" w:rsidR="004B3850" w:rsidRDefault="006C3FE8">
      <w:pPr>
        <w:spacing w:after="160"/>
        <w:jc w:val="both"/>
      </w:pPr>
      <w:r>
        <w:t>Para medir el impacto del programa se utiliza un modelo que estima cuatro relaciones encadenadas. Cada relación corresponde a un paso en la secuencia de transformación de las empresas.</w:t>
      </w:r>
    </w:p>
    <w:p w14:paraId="3D508325" w14:textId="77777777" w:rsidR="004B3850" w:rsidRDefault="006C3FE8">
      <w:pPr>
        <w:pStyle w:val="Prrafodelista"/>
        <w:numPr>
          <w:ilvl w:val="0"/>
          <w:numId w:val="2"/>
        </w:numPr>
        <w:spacing w:after="100"/>
        <w:jc w:val="both"/>
      </w:pPr>
      <w:r>
        <w:t>La primera relación explica cuánto mejora la digitalización de una empresa en función de sus capacidades internas y de la intensidad de la ayuda recibida.</w:t>
      </w:r>
    </w:p>
    <w:p w14:paraId="54C3E474" w14:textId="77777777" w:rsidR="004B3850" w:rsidRDefault="006C3FE8">
      <w:pPr>
        <w:pStyle w:val="Prrafodelista"/>
        <w:numPr>
          <w:ilvl w:val="0"/>
          <w:numId w:val="2"/>
        </w:numPr>
        <w:spacing w:after="100"/>
        <w:jc w:val="both"/>
      </w:pPr>
      <w:r>
        <w:t>La segunda explica cuánto avanza la automatización en función de la digitalización alcanzada, las capacidades internas y la ayuda.</w:t>
      </w:r>
    </w:p>
    <w:p w14:paraId="7A2010F3" w14:textId="77777777" w:rsidR="004B3850" w:rsidRDefault="006C3FE8">
      <w:pPr>
        <w:pStyle w:val="Prrafodelista"/>
        <w:numPr>
          <w:ilvl w:val="0"/>
          <w:numId w:val="2"/>
        </w:numPr>
        <w:spacing w:after="100"/>
        <w:jc w:val="both"/>
      </w:pPr>
      <w:r>
        <w:t>La tercera explica cuánto mejora la sostenibilidad operativa a partir de las capacidades internas y la ayuda recibida.</w:t>
      </w:r>
    </w:p>
    <w:p w14:paraId="3B37402D" w14:textId="77777777" w:rsidR="004B3850" w:rsidRDefault="006C3FE8">
      <w:pPr>
        <w:pStyle w:val="Prrafodelista"/>
        <w:numPr>
          <w:ilvl w:val="0"/>
          <w:numId w:val="2"/>
        </w:numPr>
        <w:spacing w:after="100"/>
        <w:jc w:val="both"/>
      </w:pPr>
      <w:r>
        <w:t>La cuarta explica cuánto mejora el ecosistema productivo y colaborativo de la empresa como resultado de todos los cambios anteriores.</w:t>
      </w:r>
    </w:p>
    <w:p w14:paraId="51A5C89A" w14:textId="77777777" w:rsidR="004B3850" w:rsidRDefault="004B3850">
      <w:pPr>
        <w:spacing w:after="120"/>
      </w:pPr>
    </w:p>
    <w:p w14:paraId="600D9602" w14:textId="77777777" w:rsidR="004B3850" w:rsidRDefault="006C3FE8">
      <w:pPr>
        <w:spacing w:after="160"/>
        <w:jc w:val="both"/>
      </w:pPr>
      <w:r>
        <w:t>Lo que hace este modelo es respetar la lógica causal del programa: la ayuda no produce todos sus efectos de golpe. Primero fortalece las capacidades internas; después, esas capacidades facilitan la digitalización; y así sucesivamente hasta llegar a la mejora del ecosistema. Estimar cada paso por separado permite identificar dónde se producen los efectos más importantes y por qué canal opera el programa.</w:t>
      </w:r>
    </w:p>
    <w:p w14:paraId="0440B14F" w14:textId="77777777" w:rsidR="004B3850" w:rsidRDefault="006C3FE8">
      <w:pPr>
        <w:spacing w:after="160"/>
        <w:ind w:left="360"/>
        <w:jc w:val="both"/>
      </w:pPr>
      <w:r>
        <w:rPr>
          <w:i/>
          <w:iCs/>
          <w:color w:val="2E74B5"/>
          <w:sz w:val="20"/>
          <w:szCs w:val="20"/>
        </w:rPr>
        <w:t>→ El detalle técnico del sistema de ecuaciones, incluyendo la formulación matemática completa y los procedimientos de estimación, se encuentra en el Anexo A y el Anexo C.</w:t>
      </w:r>
    </w:p>
    <w:p w14:paraId="40DECA5D" w14:textId="77777777" w:rsidR="004B3850" w:rsidRDefault="006C3FE8">
      <w:pPr>
        <w:pStyle w:val="Ttulo1"/>
      </w:pPr>
      <w:r>
        <w:t>8. Por qué no basta con una sola ecuación</w:t>
      </w:r>
    </w:p>
    <w:p w14:paraId="3E062122" w14:textId="77777777" w:rsidR="004B3850" w:rsidRDefault="006C3FE8">
      <w:pPr>
        <w:spacing w:after="160"/>
        <w:jc w:val="both"/>
      </w:pPr>
      <w:r>
        <w:t>Una pregunta razonable es: ¿por qué no simplemente analizar si las empresas que han recibido más ayuda tienen mejores resultados finales? La respuesta es que una ecuación única oculta diferencias importantes entre tipos de proyecto.</w:t>
      </w:r>
    </w:p>
    <w:p w14:paraId="0C31FCE8" w14:textId="77777777" w:rsidR="004B3850" w:rsidRDefault="006C3FE8">
      <w:pPr>
        <w:spacing w:after="160"/>
        <w:jc w:val="both"/>
      </w:pPr>
      <w:r>
        <w:t xml:space="preserve">Si se usa una única ecuación para todo, se promedia el efecto de todos los proyectos y se pierde la posibilidad de saber si los de formación actúan principalmente reforzando las capacidades internas, si los de investigación tienen más efecto en la digitalización y la automatización, o si los </w:t>
      </w:r>
      <w:r>
        <w:lastRenderedPageBreak/>
        <w:t>de sostenibilidad generan mejoras en costes operativos que solo más tarde se reflejan en el ecosistema. Esa información es precisamente la más útil para el diseño de futuras convocatorias.</w:t>
      </w:r>
    </w:p>
    <w:p w14:paraId="74C004CE" w14:textId="77777777" w:rsidR="004B3850" w:rsidRDefault="006C3FE8">
      <w:pPr>
        <w:pStyle w:val="Ttulo1"/>
      </w:pPr>
      <w:r>
        <w:t>9. Cómo se mide la intensidad del apoyo recibido</w:t>
      </w:r>
    </w:p>
    <w:p w14:paraId="05853957" w14:textId="77777777" w:rsidR="004B3850" w:rsidRDefault="006C3FE8">
      <w:pPr>
        <w:spacing w:after="160"/>
        <w:jc w:val="both"/>
      </w:pPr>
      <w:r>
        <w:t>Una empresa puede participar en varios tipos de proyecto al mismo tiempo. En ese caso, no tiene sentido clasificarla en una única categoría y perder el resto de la información. La solución adoptada es más realista: se mide de forma separada la intensidad del apoyo recibido en cada tipología de proyecto.</w:t>
      </w:r>
    </w:p>
    <w:p w14:paraId="62F584A9" w14:textId="77777777" w:rsidR="004B3850" w:rsidRDefault="006C3FE8">
      <w:pPr>
        <w:spacing w:after="160"/>
        <w:jc w:val="both"/>
      </w:pPr>
      <w:r>
        <w:t>Concretamente, para cada empresa se calcula cuánto importe concedido corresponde a proyectos de investigación industrial, cuánto a proyectos de desarrollo experimental, cuánto a proyectos de formación y cuánto a proyectos de innovación en organización y procesos, normalizando cada cifra por el número de empleados del año base 2022. Estas cuatro variables de dosis monetarias continuas (</w:t>
      </w:r>
      <w:proofErr w:type="spellStart"/>
      <w:r>
        <w:t>DoseINV</w:t>
      </w:r>
      <w:proofErr w:type="spellEnd"/>
      <w:r>
        <w:t xml:space="preserve">, </w:t>
      </w:r>
      <w:proofErr w:type="spellStart"/>
      <w:r>
        <w:t>DoseDEV</w:t>
      </w:r>
      <w:proofErr w:type="spellEnd"/>
      <w:r>
        <w:t xml:space="preserve">, </w:t>
      </w:r>
      <w:proofErr w:type="spellStart"/>
      <w:r>
        <w:t>DoseABS</w:t>
      </w:r>
      <w:proofErr w:type="spellEnd"/>
      <w:r>
        <w:t xml:space="preserve"> y </w:t>
      </w:r>
      <w:proofErr w:type="spellStart"/>
      <w:r>
        <w:t>DoseINNO</w:t>
      </w:r>
      <w:proofErr w:type="spellEnd"/>
      <w:r>
        <w:t>) ya han sido construidas a partir de los datos de subvenciones concedidas en 2023 y se han incorporado a la estimación econométrica. Los datos de subvenciones muestran que 240 de las 242 empresas mercantiles de la encuesta tienen subvención registrada, con una ayuda total de 573 millones de euros. La dosis mediana varía notablemente entre tipologías: 17.411 euros por empleado en Investigación, 5.029 en Desarrollo, 89 en Formación y 13.896 en Innovación en procesos.</w:t>
      </w:r>
    </w:p>
    <w:p w14:paraId="7FEF4139" w14:textId="77777777" w:rsidR="004B3850" w:rsidRDefault="006C3FE8">
      <w:pPr>
        <w:spacing w:after="160"/>
        <w:jc w:val="both"/>
      </w:pPr>
      <w:r>
        <w:t>Los datos utilizados corresponden al importe concedido en la resolución de 2023. Cuando esté disponible el importe ejecutado real se reestimará el modelo, lo que puede modificar los resultados especialmente en proyectos donde la ejecución sea parcial o retardada. La comparación entre ambas estimaciones será en sí misma un resultado informativo sobre la calidad de la ejecución del programa.</w:t>
      </w:r>
    </w:p>
    <w:p w14:paraId="18A63540" w14:textId="77777777" w:rsidR="004B3850" w:rsidRDefault="006C3FE8">
      <w:pPr>
        <w:spacing w:after="160"/>
        <w:ind w:left="360"/>
        <w:jc w:val="both"/>
      </w:pPr>
      <w:r>
        <w:rPr>
          <w:i/>
          <w:iCs/>
          <w:color w:val="2E74B5"/>
          <w:sz w:val="20"/>
          <w:szCs w:val="20"/>
        </w:rPr>
        <w:t>→ La formulación técnica de las variables de dosis, incluyendo su definición matemática y las cautelas de colinealidad, se encuentra en el Anexo C.</w:t>
      </w:r>
    </w:p>
    <w:p w14:paraId="3B55905F" w14:textId="77777777" w:rsidR="004B3850" w:rsidRDefault="006C3FE8">
      <w:pPr>
        <w:pStyle w:val="Ttulo1"/>
      </w:pPr>
      <w:r>
        <w:t>10. Datos necesarios para la evaluación</w:t>
      </w:r>
    </w:p>
    <w:p w14:paraId="5C906839" w14:textId="77777777" w:rsidR="004B3850" w:rsidRDefault="006C3FE8">
      <w:pPr>
        <w:spacing w:after="160"/>
        <w:jc w:val="both"/>
      </w:pPr>
      <w:r>
        <w:t>La evaluación necesita dos tipos de información que se complementan entre sí.</w:t>
      </w:r>
    </w:p>
    <w:p w14:paraId="2AFB3923"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200"/>
      </w:tblGrid>
      <w:tr w:rsidR="004B3850" w14:paraId="175D6DF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2CBB2CF" w14:textId="77777777" w:rsidR="004B3850" w:rsidRDefault="006C3FE8">
            <w:r>
              <w:rPr>
                <w:b/>
                <w:bCs/>
                <w:color w:val="FFFFFF"/>
                <w:sz w:val="19"/>
                <w:szCs w:val="19"/>
              </w:rPr>
              <w:t>Bloque</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B97606D" w14:textId="77777777" w:rsidR="004B3850" w:rsidRDefault="006C3FE8">
            <w:r>
              <w:rPr>
                <w:b/>
                <w:bCs/>
                <w:color w:val="FFFFFF"/>
                <w:sz w:val="19"/>
                <w:szCs w:val="19"/>
              </w:rPr>
              <w:t>Qué contiene</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95B1C67" w14:textId="77777777" w:rsidR="004B3850" w:rsidRDefault="006C3FE8">
            <w:r>
              <w:rPr>
                <w:b/>
                <w:bCs/>
                <w:color w:val="FFFFFF"/>
                <w:sz w:val="19"/>
                <w:szCs w:val="19"/>
              </w:rPr>
              <w:t>Para qué sirve</w:t>
            </w:r>
          </w:p>
        </w:tc>
      </w:tr>
      <w:tr w:rsidR="004B3850" w14:paraId="441CFCC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6516331" w14:textId="77777777" w:rsidR="004B3850" w:rsidRDefault="006C3FE8">
            <w:r>
              <w:rPr>
                <w:color w:val="000000"/>
                <w:sz w:val="20"/>
                <w:szCs w:val="20"/>
              </w:rPr>
              <w:t>Encuesta a beneficiarias</w:t>
            </w:r>
          </w:p>
        </w:tc>
        <w:tc>
          <w:tcPr>
            <w:tcW w:w="3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57384D" w14:textId="77777777" w:rsidR="004B3850" w:rsidRDefault="006C3FE8">
            <w:r>
              <w:rPr>
                <w:color w:val="000000"/>
                <w:sz w:val="20"/>
                <w:szCs w:val="20"/>
              </w:rPr>
              <w:t>Respuestas sobre formación, digitalización, automatización, sostenibilidad y ecosistema de cada empresa en cada año</w:t>
            </w:r>
          </w:p>
        </w:tc>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17B238" w14:textId="77777777" w:rsidR="004B3850" w:rsidRDefault="006C3FE8">
            <w:r>
              <w:rPr>
                <w:color w:val="000000"/>
                <w:sz w:val="20"/>
                <w:szCs w:val="20"/>
              </w:rPr>
              <w:t>Analizar cómo cambia cada empresa y qué mecanismos parecen más relevantes</w:t>
            </w:r>
          </w:p>
        </w:tc>
      </w:tr>
      <w:tr w:rsidR="004B3850" w14:paraId="0180208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71AA12F" w14:textId="77777777" w:rsidR="004B3850" w:rsidRDefault="006C3FE8">
            <w:r>
              <w:rPr>
                <w:color w:val="000000"/>
                <w:sz w:val="20"/>
                <w:szCs w:val="20"/>
              </w:rPr>
              <w:t>Datos externos (SABI)</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3A64CB5" w14:textId="77777777" w:rsidR="004B3850" w:rsidRDefault="006C3FE8">
            <w:r>
              <w:rPr>
                <w:color w:val="000000"/>
                <w:sz w:val="20"/>
                <w:szCs w:val="20"/>
              </w:rPr>
              <w:t xml:space="preserve">Ventas, empleo, exportaciones, inversión </w:t>
            </w:r>
            <w:proofErr w:type="spellStart"/>
            <w:r>
              <w:rPr>
                <w:color w:val="000000"/>
                <w:sz w:val="20"/>
                <w:szCs w:val="20"/>
              </w:rPr>
              <w:t>e</w:t>
            </w:r>
            <w:proofErr w:type="spellEnd"/>
            <w:r>
              <w:rPr>
                <w:color w:val="000000"/>
                <w:sz w:val="20"/>
                <w:szCs w:val="20"/>
              </w:rPr>
              <w:t xml:space="preserve"> I+D de empresas similares no beneficiarias del programa</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DD9A447" w14:textId="77777777" w:rsidR="004B3850" w:rsidRDefault="006C3FE8">
            <w:r>
              <w:rPr>
                <w:color w:val="000000"/>
                <w:sz w:val="20"/>
                <w:szCs w:val="20"/>
              </w:rPr>
              <w:t>Construir el grupo de comparación y estimar si los cambios son atribuibles al programa</w:t>
            </w:r>
          </w:p>
        </w:tc>
      </w:tr>
    </w:tbl>
    <w:p w14:paraId="2B6D4BCA" w14:textId="77777777" w:rsidR="004B3850" w:rsidRDefault="004B3850">
      <w:pPr>
        <w:spacing w:after="120"/>
      </w:pPr>
    </w:p>
    <w:p w14:paraId="1B014F51" w14:textId="77777777" w:rsidR="004B3850" w:rsidRDefault="006C3FE8">
      <w:pPr>
        <w:spacing w:after="160"/>
        <w:jc w:val="both"/>
      </w:pPr>
      <w:r>
        <w:t>Los datos de la encuesta a beneficiarias ya están disponibles y depurados para el período 2022–2024. Los datos externos de empresas comparables se obtendrán de SABI, e incluirán series históricas desde 2019 para contar con un período suficientemente largo antes del programa. Contar con esa ventana previa es fundamental para construir comparaciones creíbles.</w:t>
      </w:r>
    </w:p>
    <w:p w14:paraId="1C4C879E" w14:textId="77777777" w:rsidR="004B3850" w:rsidRDefault="006C3FE8">
      <w:pPr>
        <w:pStyle w:val="Ttulo1"/>
      </w:pPr>
      <w:r>
        <w:t>11. El análisis externo: ¿qué habría ocurrido sin el programa?</w:t>
      </w:r>
    </w:p>
    <w:p w14:paraId="3EFB8889" w14:textId="77777777" w:rsidR="004B3850" w:rsidRDefault="006C3FE8">
      <w:pPr>
        <w:spacing w:after="160"/>
        <w:jc w:val="both"/>
      </w:pPr>
      <w:r>
        <w:t xml:space="preserve">El análisis interno explica qué cambia dentro de las empresas beneficiarias y a través de qué mecanismos. Pero no puede responder a la pregunta de si esos cambios se deben al programa o </w:t>
      </w:r>
      <w:r>
        <w:lastRenderedPageBreak/>
        <w:t>habrían ocurrido igualmente sin él. Para responder esa pregunta se aplica el método de Diferencias en Diferencias (</w:t>
      </w:r>
      <w:proofErr w:type="spellStart"/>
      <w:r>
        <w:t>DiD</w:t>
      </w:r>
      <w:proofErr w:type="spellEnd"/>
      <w:r>
        <w:t xml:space="preserve">), que es el estándar metodológico más reconocido en evaluación de políticas públicas. El </w:t>
      </w:r>
      <w:proofErr w:type="spellStart"/>
      <w:r>
        <w:t>DiD</w:t>
      </w:r>
      <w:proofErr w:type="spellEnd"/>
      <w:r>
        <w:t xml:space="preserve"> compara la evolución de las empresas beneficiarias (grupo tratado) con la de empresas comparables no beneficiarias (grupo control) antes y después de recibir la subvención. Si las beneficiarias mejoran significativamente más que las comparables tras el programa, esa diferencia se atribuye al efecto </w:t>
      </w:r>
      <w:r>
        <w:t>del PERTE VEC 1.</w:t>
      </w:r>
    </w:p>
    <w:p w14:paraId="52B1C094" w14:textId="77777777" w:rsidR="004B3850" w:rsidRDefault="006C3FE8">
      <w:pPr>
        <w:spacing w:after="160"/>
        <w:jc w:val="both"/>
      </w:pPr>
      <w:r>
        <w:t xml:space="preserve">El supuesto fundamental del </w:t>
      </w:r>
      <w:proofErr w:type="spellStart"/>
      <w:r>
        <w:t>DiD</w:t>
      </w:r>
      <w:proofErr w:type="spellEnd"/>
      <w:r>
        <w:t xml:space="preserve"> es que, en ausencia del programa, las empresas beneficiarias y las comparables habrían seguido tendencias paralelas. Este supuesto se contrastará formalmente utilizando los cuatro años de pretratamiento disponibles en SABI (2019–2022): si ambos grupos evolucionaban de forma similar antes de 2023, la divergencia posterior puede atribuirse razonablemente al programa. Para maximizar la credibilidad de ese supuesto se utiliza el Control Sintético como herramienta de construcción del grupo de comparación: en</w:t>
      </w:r>
      <w:r>
        <w:t xml:space="preserve"> lugar de tomar cualquier empresa comparable, se seleccionan y ponderan las empresas de SABI de forma que su trayectoria pretratamiento se parezca al máximo a la de cada beneficiaria. Esta combinación de </w:t>
      </w:r>
      <w:proofErr w:type="spellStart"/>
      <w:r>
        <w:t>DiD</w:t>
      </w:r>
      <w:proofErr w:type="spellEnd"/>
      <w:r>
        <w:t xml:space="preserve"> con Control Sintético es la especificación más robusta disponible para este tipo de evaluación.</w:t>
      </w:r>
    </w:p>
    <w:p w14:paraId="0835D6F8" w14:textId="77777777" w:rsidR="004B3850" w:rsidRDefault="006C3FE8">
      <w:pPr>
        <w:spacing w:after="160"/>
        <w:jc w:val="both"/>
      </w:pPr>
      <w:r>
        <w:t xml:space="preserve">El grupo de comparación se construye a partir de SABI, seleccionando empresas españolas no beneficiarias del PERTE VEC 1 comparables en sector (CNAE a dos dígitos), tamaño, antigüedad, estructura exportadora y perfil tecnológico previo. Las variables de resultado sobre las que se estimará el </w:t>
      </w:r>
      <w:proofErr w:type="spellStart"/>
      <w:r>
        <w:t>DiD</w:t>
      </w:r>
      <w:proofErr w:type="spellEnd"/>
      <w:r>
        <w:t xml:space="preserve"> son observables y homogéneas entre beneficiarias y comparables: empleo, ventas, productividad, exportaciones e intensidad de 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4B3850" w14:paraId="70087331" w14:textId="77777777">
        <w:tblPrEx>
          <w:tblCellMar>
            <w:top w:w="0" w:type="dxa"/>
            <w:bottom w:w="0" w:type="dxa"/>
          </w:tblCellMar>
        </w:tblPrEx>
        <w:tc>
          <w:tcPr>
            <w:tcW w:w="0" w:type="auto"/>
            <w:tcBorders>
              <w:top w:val="thick" w:sz="8" w:space="0" w:color="2E74B5"/>
              <w:left w:val="thick" w:sz="8" w:space="0" w:color="2E74B5"/>
              <w:bottom w:val="single" w:sz="4" w:space="0" w:color="2E74B5"/>
              <w:right w:val="single" w:sz="4" w:space="0" w:color="2E74B5"/>
            </w:tcBorders>
            <w:shd w:val="clear" w:color="auto" w:fill="BDD7EE"/>
            <w:tcMar>
              <w:top w:w="120" w:type="dxa"/>
              <w:left w:w="200" w:type="dxa"/>
              <w:bottom w:w="120" w:type="dxa"/>
              <w:right w:w="200" w:type="dxa"/>
            </w:tcMar>
          </w:tcPr>
          <w:p w14:paraId="14849C79" w14:textId="77777777" w:rsidR="004B3850" w:rsidRDefault="006C3FE8">
            <w:pPr>
              <w:spacing w:after="80"/>
            </w:pPr>
            <w:r>
              <w:rPr>
                <w:b/>
                <w:bCs/>
                <w:color w:val="1F3864"/>
              </w:rPr>
              <w:t>¿Qué es el contrafactual?</w:t>
            </w:r>
          </w:p>
          <w:p w14:paraId="3E738029" w14:textId="77777777" w:rsidR="004B3850" w:rsidRDefault="006C3FE8">
            <w:pPr>
              <w:jc w:val="both"/>
            </w:pPr>
            <w:r>
              <w:rPr>
                <w:sz w:val="21"/>
                <w:szCs w:val="21"/>
              </w:rPr>
              <w:t>El contrafactual es la respuesta a la pregunta "¿qué habría pasado si no hubiera existido el programa?". Como no podemos observar directamente lo que habría ocurrido sin el PERTE VEC, se construye una estimación de esa situación hipotética usando la evolución de empresas comparables. La diferencia entre lo que ocurrió realmente y ese escenario hipotético es el impacto atribuible al programa.</w:t>
            </w:r>
          </w:p>
        </w:tc>
      </w:tr>
    </w:tbl>
    <w:p w14:paraId="0F3817E3" w14:textId="77777777" w:rsidR="004B3850" w:rsidRDefault="004B3850">
      <w:pPr>
        <w:spacing w:after="160"/>
      </w:pPr>
    </w:p>
    <w:p w14:paraId="75F92751" w14:textId="77777777" w:rsidR="004B3850" w:rsidRDefault="006C3FE8">
      <w:pPr>
        <w:pStyle w:val="Ttulo2"/>
      </w:pPr>
      <w:r>
        <w:t>El período de análisis y la importancia de los datos previos</w:t>
      </w:r>
    </w:p>
    <w:p w14:paraId="7266560B" w14:textId="77777777" w:rsidR="004B3850" w:rsidRDefault="006C3FE8">
      <w:pPr>
        <w:spacing w:after="160"/>
        <w:jc w:val="both"/>
      </w:pPr>
      <w:r>
        <w:t>Para que la comparación sea creíble, es imprescindible verificar que las empresas beneficiarias y las comparables evolucionaban de forma similar antes del programa. Si la trayectoria previa es parecida, la divergencia observada después del programa puede atribuirse razonablemente al efecto del PERTE VEC.</w:t>
      </w:r>
    </w:p>
    <w:p w14:paraId="5AFFDB81" w14:textId="77777777" w:rsidR="004B3850" w:rsidRDefault="006C3FE8">
      <w:pPr>
        <w:spacing w:after="160"/>
        <w:jc w:val="both"/>
      </w:pPr>
      <w:r>
        <w:t>Por esta razón se busca ampliar la ventana de datos hacia atrás hasta 2019, en la medida en que SABI lo permita. Cuantos más años de historia previa se tengan, más sólida será la comparación y más creíbles las conclusiones.</w:t>
      </w:r>
    </w:p>
    <w:p w14:paraId="2494D947" w14:textId="77777777" w:rsidR="004B3850" w:rsidRDefault="006C3FE8">
      <w:pPr>
        <w:pStyle w:val="Ttulo2"/>
      </w:pPr>
      <w:r>
        <w:t>La gestión del panel a lo largo del tiempo</w:t>
      </w:r>
    </w:p>
    <w:p w14:paraId="7D604478" w14:textId="77777777" w:rsidR="004B3850" w:rsidRDefault="006C3FE8">
      <w:pPr>
        <w:spacing w:after="160"/>
        <w:jc w:val="both"/>
      </w:pPr>
      <w:r>
        <w:t>La evaluación hace un seguimiento de las mismas empresas durante varios años. Cuando alguna empresa deja de responder a la encuesta antes del final del período, se genera un riesgo: si las que abandonan son precisamente las que peor están evolucionando, la muestra final estaría sesgada hacia las empresas más exitosas, y el impacto estimado del programa quedaría sobreestimado.</w:t>
      </w:r>
    </w:p>
    <w:p w14:paraId="712F9AF7" w14:textId="77777777" w:rsidR="004B3850" w:rsidRDefault="006C3FE8">
      <w:pPr>
        <w:spacing w:after="160"/>
        <w:jc w:val="both"/>
      </w:pPr>
      <w:r>
        <w:t>Para controlar este riesgo se comparará el perfil de las empresas que permanecen en la muestra con el de las que la abandonan, y se aplicarán correcciones estadísticas si la diferencia es relevante. Los resultados se presentarán siempre con y sin esas correcciones, para que sea posible valorar la magnitud del posible sesgo.</w:t>
      </w:r>
    </w:p>
    <w:p w14:paraId="4A58DACF" w14:textId="77777777" w:rsidR="004B3850" w:rsidRDefault="006C3FE8">
      <w:pPr>
        <w:spacing w:after="160"/>
        <w:ind w:left="360"/>
        <w:jc w:val="both"/>
      </w:pPr>
      <w:r>
        <w:rPr>
          <w:i/>
          <w:iCs/>
          <w:color w:val="2E74B5"/>
          <w:sz w:val="20"/>
          <w:szCs w:val="20"/>
        </w:rPr>
        <w:t>→ El detalle técnico sobre la construcción del contrafactual, las variables de comparación y el tratamiento del panel se encuentra en el Anexo D.</w:t>
      </w:r>
    </w:p>
    <w:p w14:paraId="4DCF1263" w14:textId="77777777" w:rsidR="004B3850" w:rsidRDefault="006C3FE8">
      <w:pPr>
        <w:pStyle w:val="Ttulo1"/>
      </w:pPr>
      <w:r>
        <w:lastRenderedPageBreak/>
        <w:t>12. Riesgos que la evaluación debe vigilar</w:t>
      </w:r>
    </w:p>
    <w:p w14:paraId="1C013BFB" w14:textId="77777777" w:rsidR="004B3850" w:rsidRDefault="006C3FE8">
      <w:pPr>
        <w:spacing w:after="160"/>
        <w:jc w:val="both"/>
      </w:pPr>
      <w:r>
        <w:t>Toda evaluación de impacto de un programa complejo tiene limitaciones que conviene reconocer abiertamente. La siguiente tabla resume los principales riesgos de esta evaluación, por qué importan y cómo se mitigan.</w:t>
      </w:r>
    </w:p>
    <w:p w14:paraId="7666C1C1" w14:textId="77777777" w:rsidR="004B3850" w:rsidRDefault="004B3850">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000"/>
      </w:tblGrid>
      <w:tr w:rsidR="004B3850" w14:paraId="591828C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F240472" w14:textId="77777777" w:rsidR="004B3850" w:rsidRDefault="006C3FE8">
            <w:r>
              <w:rPr>
                <w:b/>
                <w:bCs/>
                <w:color w:val="FFFFFF"/>
                <w:sz w:val="19"/>
                <w:szCs w:val="19"/>
              </w:rPr>
              <w:t>Riesgo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3CB62A8" w14:textId="77777777" w:rsidR="004B3850" w:rsidRDefault="006C3FE8">
            <w:r>
              <w:rPr>
                <w:b/>
                <w:bCs/>
                <w:color w:val="FFFFFF"/>
                <w:sz w:val="19"/>
                <w:szCs w:val="19"/>
              </w:rPr>
              <w:t>Por qué importa</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C948752" w14:textId="77777777" w:rsidR="004B3850" w:rsidRDefault="006C3FE8">
            <w:r>
              <w:rPr>
                <w:b/>
                <w:bCs/>
                <w:color w:val="FFFFFF"/>
                <w:sz w:val="19"/>
                <w:szCs w:val="19"/>
              </w:rPr>
              <w:t>Cómo se mitiga</w:t>
            </w:r>
          </w:p>
        </w:tc>
      </w:tr>
      <w:tr w:rsidR="004B3850" w14:paraId="4F73888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EE17240" w14:textId="77777777" w:rsidR="004B3850" w:rsidRDefault="006C3FE8">
            <w:r>
              <w:rPr>
                <w:color w:val="000000"/>
                <w:sz w:val="20"/>
                <w:szCs w:val="20"/>
              </w:rPr>
              <w:t>Las empresas con más capacidades previas pueden beneficiarse más del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E8C2CF" w14:textId="77777777" w:rsidR="004B3850" w:rsidRDefault="006C3FE8">
            <w:r>
              <w:rPr>
                <w:color w:val="000000"/>
                <w:sz w:val="20"/>
                <w:szCs w:val="20"/>
              </w:rPr>
              <w:t>El efecto observado podría reflejar esas capacidades previas, no 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867CED" w14:textId="77777777" w:rsidR="004B3850" w:rsidRDefault="006C3FE8">
            <w:r>
              <w:rPr>
                <w:color w:val="000000"/>
                <w:sz w:val="20"/>
                <w:szCs w:val="20"/>
              </w:rPr>
              <w:t>Comparar con empresas similares antes del programa</w:t>
            </w:r>
          </w:p>
        </w:tc>
      </w:tr>
      <w:tr w:rsidR="004B3850" w14:paraId="36D0EA6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E48B92C" w14:textId="77777777" w:rsidR="004B3850" w:rsidRDefault="006C3FE8">
            <w:r>
              <w:rPr>
                <w:color w:val="000000"/>
                <w:sz w:val="20"/>
                <w:szCs w:val="20"/>
              </w:rPr>
              <w:t>Algunas variables pueden medir tamaño en lugar de transformación real</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6F48D92" w14:textId="77777777" w:rsidR="004B3850" w:rsidRDefault="006C3FE8">
            <w:r>
              <w:rPr>
                <w:color w:val="000000"/>
                <w:sz w:val="20"/>
                <w:szCs w:val="20"/>
              </w:rPr>
              <w:t>Se mediría el volumen de la empresa, no si ha cambiado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EE809E8" w14:textId="77777777" w:rsidR="004B3850" w:rsidRDefault="006C3FE8">
            <w:r>
              <w:rPr>
                <w:color w:val="000000"/>
                <w:sz w:val="20"/>
                <w:szCs w:val="20"/>
              </w:rPr>
              <w:t>Normalizar todos los indicadores por tamaño (empleados o ventas)</w:t>
            </w:r>
          </w:p>
        </w:tc>
      </w:tr>
      <w:tr w:rsidR="004B3850" w14:paraId="4A90CEE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BCC165" w14:textId="77777777" w:rsidR="004B3850" w:rsidRDefault="006C3FE8">
            <w:r>
              <w:rPr>
                <w:color w:val="000000"/>
                <w:sz w:val="20"/>
                <w:szCs w:val="20"/>
              </w:rPr>
              <w:t>Información temporal insuficiente para separar situación previa y posterior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53E29B" w14:textId="77777777" w:rsidR="004B3850" w:rsidRDefault="006C3FE8">
            <w:r>
              <w:rPr>
                <w:color w:val="000000"/>
                <w:sz w:val="20"/>
                <w:szCs w:val="20"/>
              </w:rPr>
              <w:t>Sin datos previos claros, no se puede atribuir el cambio al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2946E1" w14:textId="77777777" w:rsidR="004B3850" w:rsidRDefault="006C3FE8">
            <w:r>
              <w:rPr>
                <w:color w:val="000000"/>
                <w:sz w:val="20"/>
                <w:szCs w:val="20"/>
              </w:rPr>
              <w:t>Ampliar la ventana temporal con datos de SABI desde 2019</w:t>
            </w:r>
          </w:p>
        </w:tc>
      </w:tr>
      <w:tr w:rsidR="004B3850" w14:paraId="547617B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05D3681" w14:textId="77777777" w:rsidR="004B3850" w:rsidRDefault="006C3FE8">
            <w:r>
              <w:rPr>
                <w:color w:val="000000"/>
                <w:sz w:val="20"/>
                <w:szCs w:val="20"/>
              </w:rPr>
              <w:t>El grupo de comparación puede estar mal construido</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300AD89" w14:textId="77777777" w:rsidR="004B3850" w:rsidRDefault="006C3FE8">
            <w:r>
              <w:rPr>
                <w:color w:val="000000"/>
                <w:sz w:val="20"/>
                <w:szCs w:val="20"/>
              </w:rPr>
              <w:t>Una comparación débil produce conclusiones poco fiables</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C0E1CDD" w14:textId="77777777" w:rsidR="004B3850" w:rsidRDefault="006C3FE8">
            <w:r>
              <w:rPr>
                <w:color w:val="000000"/>
                <w:sz w:val="20"/>
                <w:szCs w:val="20"/>
              </w:rPr>
              <w:t>Seleccionar empresas comparables con criterios rigurosos de sector y tamaño</w:t>
            </w:r>
          </w:p>
        </w:tc>
      </w:tr>
    </w:tbl>
    <w:p w14:paraId="51779DC4" w14:textId="77777777" w:rsidR="004B3850" w:rsidRDefault="004B3850">
      <w:pPr>
        <w:spacing w:after="120"/>
      </w:pPr>
    </w:p>
    <w:p w14:paraId="74EC5871" w14:textId="77777777" w:rsidR="004B3850" w:rsidRDefault="006C3FE8">
      <w:pPr>
        <w:pStyle w:val="Ttulo1"/>
      </w:pPr>
      <w:r>
        <w:t>13. Hoja de ruta operativa</w:t>
      </w:r>
    </w:p>
    <w:p w14:paraId="2A09EB00" w14:textId="77777777" w:rsidR="004B3850" w:rsidRDefault="006C3FE8">
      <w:pPr>
        <w:spacing w:after="160"/>
        <w:jc w:val="both"/>
      </w:pPr>
      <w:r>
        <w:t>La evaluación se desarrolla en cinco fases. Las dos primeras ya están completadas. Las tres restantes están condicionadas a la disponibilidad de los datos de SABI:</w:t>
      </w:r>
    </w:p>
    <w:p w14:paraId="598933E4" w14:textId="77777777" w:rsidR="004B3850" w:rsidRDefault="006C3FE8">
      <w:pPr>
        <w:pStyle w:val="Prrafodelista"/>
        <w:numPr>
          <w:ilvl w:val="0"/>
          <w:numId w:val="2"/>
        </w:numPr>
        <w:spacing w:after="100"/>
        <w:jc w:val="both"/>
      </w:pPr>
      <w:r>
        <w:t xml:space="preserve">Fase 1 — Preparación de la base analítica [COMPLETADA]: depuración del cuestionario 2022–2024, construcción de los indicadores sintéticos (ABSCAP, DIGINT proxy, ECOS), tratamiento de valores ausentes y </w:t>
      </w:r>
      <w:proofErr w:type="spellStart"/>
      <w:r>
        <w:t>winsorización</w:t>
      </w:r>
      <w:proofErr w:type="spellEnd"/>
      <w:r>
        <w:t xml:space="preserve"> de variables con valores extremos. La base analítica definitiva cubre 242 empresas mercantiles con 696 observaciones.</w:t>
      </w:r>
    </w:p>
    <w:p w14:paraId="7F98AA4F" w14:textId="77777777" w:rsidR="004B3850" w:rsidRDefault="006C3FE8">
      <w:pPr>
        <w:pStyle w:val="Prrafodelista"/>
        <w:numPr>
          <w:ilvl w:val="0"/>
          <w:numId w:val="2"/>
        </w:numPr>
        <w:spacing w:after="100"/>
        <w:jc w:val="both"/>
      </w:pPr>
      <w:r>
        <w:t>Fase 2 — Estimación del modelo interno [COMPLETADA]: se han estimado dos especificaciones con dosis monetarias reales procedentes de los datos de subvenciones concedidas en 2023. La Especificación A (</w:t>
      </w:r>
      <w:proofErr w:type="spellStart"/>
      <w:r>
        <w:t>Pooled</w:t>
      </w:r>
      <w:proofErr w:type="spellEnd"/>
      <w:r>
        <w:t xml:space="preserve"> OLS con efectos fijos de año) y la Especificación B (</w:t>
      </w:r>
      <w:proofErr w:type="spellStart"/>
      <w:r>
        <w:t>within</w:t>
      </w:r>
      <w:proofErr w:type="spellEnd"/>
      <w:r>
        <w:t xml:space="preserve"> con interacciones </w:t>
      </w:r>
      <w:proofErr w:type="spellStart"/>
      <w:r>
        <w:t>dosis×año</w:t>
      </w:r>
      <w:proofErr w:type="spellEnd"/>
      <w:r>
        <w:t xml:space="preserve">, equivalente a un </w:t>
      </w:r>
      <w:proofErr w:type="spellStart"/>
      <w:r>
        <w:t>DiD</w:t>
      </w:r>
      <w:proofErr w:type="spellEnd"/>
      <w:r>
        <w:t xml:space="preserve"> con intensidad de tratamiento continua) muestran que el Desarrollo Experimental es el principal motor del ecosistema, con efectos positivos, significativos y crecientes en 2023 y 2024.</w:t>
      </w:r>
    </w:p>
    <w:p w14:paraId="1ECA9BE7" w14:textId="77777777" w:rsidR="004B3850" w:rsidRDefault="006C3FE8">
      <w:pPr>
        <w:pStyle w:val="Prrafodelista"/>
        <w:numPr>
          <w:ilvl w:val="0"/>
          <w:numId w:val="2"/>
        </w:numPr>
        <w:spacing w:after="100"/>
        <w:jc w:val="both"/>
      </w:pPr>
      <w:r>
        <w:t xml:space="preserve">Fase 3 — Incorporación de datos externos [PENDIENTE]: obtener de SABI las series 2019–2024 para las 242 empresas beneficiarias y para el pool de donantes (empresas comparables no beneficiarias). Con esos datos se construirá el grupo de control para el </w:t>
      </w:r>
      <w:proofErr w:type="spellStart"/>
      <w:r>
        <w:t>DiD</w:t>
      </w:r>
      <w:proofErr w:type="spellEnd"/>
      <w:r>
        <w:t xml:space="preserve"> externo y se verificará el supuesto de tendencias paralelas en el período pretratamiento 2019–2022.</w:t>
      </w:r>
    </w:p>
    <w:p w14:paraId="5DCBA27D" w14:textId="77777777" w:rsidR="004B3850" w:rsidRDefault="006C3FE8">
      <w:pPr>
        <w:pStyle w:val="Prrafodelista"/>
        <w:numPr>
          <w:ilvl w:val="0"/>
          <w:numId w:val="2"/>
        </w:numPr>
        <w:spacing w:after="100"/>
        <w:jc w:val="both"/>
      </w:pPr>
      <w:r>
        <w:t xml:space="preserve">Fase 4 — Estimación del </w:t>
      </w:r>
      <w:proofErr w:type="spellStart"/>
      <w:r>
        <w:t>DiD</w:t>
      </w:r>
      <w:proofErr w:type="spellEnd"/>
      <w:r>
        <w:t xml:space="preserve"> externo [PENDIENTE]: estimar el modelo de Diferencias en Diferencias comparando la evolución de las empresas beneficiarias con la del grupo donante de SABI antes y después de 2023. El Control Sintético se usará para construir el mejor grupo de comparación posible, ponderando los donantes para que su trayectoria pretratamiento se parezca al máximo a la de las beneficiarias. Esta fase producirá la estimación más rigurosa del impacto atribuible al programa. La segunda evaluación (efecto acumulado 2023–2025</w:t>
      </w:r>
      <w:r>
        <w:t>) se realizará cuando estén disponibles los datos del cuestionario 2025.</w:t>
      </w:r>
    </w:p>
    <w:p w14:paraId="682590BD" w14:textId="77777777" w:rsidR="004B3850" w:rsidRDefault="006C3FE8">
      <w:pPr>
        <w:pStyle w:val="Prrafodelista"/>
        <w:numPr>
          <w:ilvl w:val="0"/>
          <w:numId w:val="2"/>
        </w:numPr>
        <w:spacing w:after="100"/>
        <w:jc w:val="both"/>
      </w:pPr>
      <w:r>
        <w:t xml:space="preserve">Fase 5 — Integración y comunicación de resultados [PENDIENTE]: combinar los resultados del análisis interno (ya disponibles) con los del </w:t>
      </w:r>
      <w:proofErr w:type="spellStart"/>
      <w:r>
        <w:t>DiD</w:t>
      </w:r>
      <w:proofErr w:type="spellEnd"/>
      <w:r>
        <w:t xml:space="preserve"> externo, elaborar los informes finales </w:t>
      </w:r>
      <w:r>
        <w:lastRenderedPageBreak/>
        <w:t>de evaluación de impacto y extraer conclusiones para la gestión: qué tipos de proyecto producen mejores resultados, con qué intensidad y con qué grado de confianza estadística.</w:t>
      </w:r>
    </w:p>
    <w:p w14:paraId="042EA21E" w14:textId="77777777" w:rsidR="004B3850" w:rsidRDefault="006C3FE8">
      <w:pPr>
        <w:pStyle w:val="Ttulo1"/>
      </w:pPr>
      <w:r>
        <w:t>14. Qué resultados ofrece la evaluación</w:t>
      </w:r>
    </w:p>
    <w:p w14:paraId="0C0E0B41" w14:textId="77777777" w:rsidR="004B3850" w:rsidRDefault="006C3FE8">
      <w:pPr>
        <w:spacing w:after="160"/>
        <w:jc w:val="both"/>
      </w:pPr>
      <w:r>
        <w:t>Al finalizar la evaluación se dispondrá de información útil en tres niveles:</w:t>
      </w:r>
    </w:p>
    <w:p w14:paraId="11D2727D" w14:textId="77777777" w:rsidR="004B3850" w:rsidRDefault="006C3FE8">
      <w:pPr>
        <w:pStyle w:val="Prrafodelista"/>
        <w:numPr>
          <w:ilvl w:val="0"/>
          <w:numId w:val="2"/>
        </w:numPr>
        <w:spacing w:after="100"/>
        <w:jc w:val="both"/>
      </w:pPr>
      <w:r>
        <w:t>Nivel 1 — Diagnóstico interno: una imagen detallada de cómo están cambiando las empresas beneficiarias, qué dimensiones mejoran más y qué mecanismos parecen más activos. Esta información es útil para el seguimiento del programa y para identificar empresas que puedan necesitar apoyo adicional.</w:t>
      </w:r>
    </w:p>
    <w:p w14:paraId="517EEFE3" w14:textId="77777777" w:rsidR="004B3850" w:rsidRDefault="006C3FE8">
      <w:pPr>
        <w:pStyle w:val="Prrafodelista"/>
        <w:numPr>
          <w:ilvl w:val="0"/>
          <w:numId w:val="2"/>
        </w:numPr>
        <w:spacing w:after="100"/>
        <w:jc w:val="both"/>
      </w:pPr>
      <w:r>
        <w:t>Nivel 2 — Diferencias por tipo de proyecto: una estimación de si los proyectos de formación, investigación, desarrollo, innovación y sostenibilidad producen efectos distintos, y en qué dimensión de la empresa actúan con más fuerza. Esta información es especialmente valiosa para el diseño de futuras convocatorias.</w:t>
      </w:r>
    </w:p>
    <w:p w14:paraId="0DC5C670" w14:textId="77777777" w:rsidR="004B3850" w:rsidRDefault="006C3FE8">
      <w:pPr>
        <w:pStyle w:val="Prrafodelista"/>
        <w:numPr>
          <w:ilvl w:val="0"/>
          <w:numId w:val="2"/>
        </w:numPr>
        <w:spacing w:after="100"/>
        <w:jc w:val="both"/>
      </w:pPr>
      <w:r>
        <w:t>Nivel 3 — Impacto atribuible al programa: una estimación de hasta qué punto los cambios observados se deben al PERTE VEC y no a la evolución general del sector. Esta es la información más exigente en términos de datos y metodología, y la más relevante para la rendición de cuentas ante órganos de control y para justificar la continuidad o expansión del programa.</w:t>
      </w:r>
    </w:p>
    <w:p w14:paraId="775A6A89" w14:textId="77777777" w:rsidR="004B3850" w:rsidRDefault="004B3850">
      <w:pPr>
        <w:spacing w:after="120"/>
      </w:pPr>
    </w:p>
    <w:p w14:paraId="62B5FE48" w14:textId="77777777" w:rsidR="004B3850" w:rsidRDefault="006C3FE8">
      <w:pPr>
        <w:spacing w:after="160"/>
        <w:jc w:val="both"/>
      </w:pPr>
      <w:r>
        <w:t>Este enfoque es especialmente valioso desde el punto de vista de la gestión pública porque no se limita a decir si el programa funciona o no. Permite extraer aprendizajes concretos para convocatorias futuras, identificar qué combinaciones de proyectos producen mejores resultados, y fundamentar con evidencia las decisiones de rediseño o continuidad del instrumento.</w:t>
      </w:r>
    </w:p>
    <w:p w14:paraId="7AE8FB60" w14:textId="77777777" w:rsidR="004B3850" w:rsidRDefault="006C3FE8">
      <w:pPr>
        <w:pStyle w:val="Ttulo1"/>
      </w:pPr>
      <w:r>
        <w:t>15. Conclusiones</w:t>
      </w:r>
    </w:p>
    <w:p w14:paraId="57008F4E" w14:textId="77777777" w:rsidR="004B3850" w:rsidRDefault="006C3FE8">
      <w:pPr>
        <w:spacing w:after="160"/>
        <w:jc w:val="both"/>
      </w:pPr>
      <w:r>
        <w:t>La evaluación del PERTE VEC cuenta con una base metodológica sólida y una lógica de intervención bien fundamentada. El análisis combinado —interno y externo— ofrece una lectura más completa y útil para la gestión que cualquiera de los dos enfoques por separado.</w:t>
      </w:r>
    </w:p>
    <w:p w14:paraId="4B867FDF" w14:textId="77777777" w:rsidR="004B3850" w:rsidRDefault="006C3FE8">
      <w:pPr>
        <w:spacing w:after="160"/>
        <w:jc w:val="both"/>
      </w:pPr>
      <w:r>
        <w:t>Las cinco dimensiones de trabajo —capacidad de absorción, digitalización integrada, automatización avanzada, sostenibilidad operativa y ecosistema— se mantienen como el lenguaje empírico del modelo, sin perder la referencia al marco oficial del programa. Son dimensiones que emergen de los propios datos y que reflejan la realidad operativa de las empresas beneficiarias.</w:t>
      </w:r>
    </w:p>
    <w:p w14:paraId="01E4745E" w14:textId="77777777" w:rsidR="004B3850" w:rsidRDefault="006C3FE8">
      <w:pPr>
        <w:spacing w:after="160"/>
        <w:jc w:val="both"/>
      </w:pPr>
      <w:r>
        <w:t>El criterio general de comunicación es claro: la complejidad técnica queda en los anexos y en el trabajo de estimación. Lo que llega a los gestores y responsables del programa son conclusiones sustantivas formuladas en términos de gestión: qué tipos de proyecto funcionan mejor, en qué dimensión de la empresa actúan, con qué intensidad y con qué grado de confianza.</w:t>
      </w:r>
    </w:p>
    <w:p w14:paraId="3450F245" w14:textId="77777777" w:rsidR="004B3850" w:rsidRDefault="006C3FE8">
      <w:pPr>
        <w:spacing w:after="160"/>
        <w:jc w:val="both"/>
      </w:pPr>
      <w:r>
        <w:t>Las Fases 1 y 2 de la evaluación están completadas. La base analítica está depurada y lista, y los primeros resultados del modelo interno con dosis monetarias reales ya están disponibles: el Desarrollo Experimental es el principal motor del ecosistema productivo, la Formación muestra efectos positivos dinámicos, y la cualificación de la plantilla es el determinante más robusto de la capacidad de absorción tecnológica. El paso siguiente es la incorporación de los datos de SABI (series 2019–2024 para benefici</w:t>
      </w:r>
      <w:r>
        <w:t xml:space="preserve">arias y donantes) para completar el </w:t>
      </w:r>
      <w:proofErr w:type="spellStart"/>
      <w:r>
        <w:t>DiD</w:t>
      </w:r>
      <w:proofErr w:type="spellEnd"/>
      <w:r>
        <w:t xml:space="preserve"> externo con grupo de control genuinamente no tratado, que es el análisis de impacto definitivo y el más creíble de cara a la rendición de cuentas. Cuando estén disponibles los datos del cuestionario 2025 se realizará la segunda evaluación midiendo el efecto acumulado del programa hasta ese año.</w:t>
      </w:r>
    </w:p>
    <w:p w14:paraId="206B1CC9" w14:textId="77777777" w:rsidR="004B3850" w:rsidRDefault="006C3FE8">
      <w:r>
        <w:br/>
      </w:r>
    </w:p>
    <w:p w14:paraId="483BFBB9" w14:textId="77777777" w:rsidR="004B3850" w:rsidRDefault="006C3FE8">
      <w:pPr>
        <w:spacing w:before="200" w:after="300"/>
        <w:jc w:val="center"/>
      </w:pPr>
      <w:r>
        <w:rPr>
          <w:b/>
          <w:bCs/>
          <w:color w:val="1F3864"/>
          <w:sz w:val="32"/>
          <w:szCs w:val="32"/>
        </w:rPr>
        <w:lastRenderedPageBreak/>
        <w:t>PARTE II</w:t>
      </w:r>
    </w:p>
    <w:p w14:paraId="4034C498" w14:textId="77777777" w:rsidR="004B3850" w:rsidRDefault="006C3FE8">
      <w:pPr>
        <w:spacing w:after="200"/>
        <w:jc w:val="center"/>
      </w:pPr>
      <w:r>
        <w:rPr>
          <w:b/>
          <w:bCs/>
          <w:color w:val="1F3864"/>
          <w:sz w:val="26"/>
          <w:szCs w:val="26"/>
        </w:rPr>
        <w:t>Anexos técnicos</w:t>
      </w:r>
    </w:p>
    <w:p w14:paraId="4366D3A2" w14:textId="77777777" w:rsidR="004B3850" w:rsidRDefault="006C3FE8">
      <w:pPr>
        <w:spacing w:after="400"/>
        <w:jc w:val="center"/>
      </w:pPr>
      <w:r>
        <w:rPr>
          <w:i/>
          <w:iCs/>
          <w:color w:val="555555"/>
          <w:sz w:val="20"/>
          <w:szCs w:val="20"/>
        </w:rPr>
        <w:t>Esta parte está dirigida al equipo técnico de estimación. Contiene el detalle metodológico y formal del modelo.</w:t>
      </w:r>
    </w:p>
    <w:p w14:paraId="5AD1D494" w14:textId="77777777" w:rsidR="004B3850" w:rsidRDefault="006C3FE8">
      <w:pPr>
        <w:pStyle w:val="Ttulo1"/>
      </w:pPr>
      <w:r>
        <w:t>Anexo A. Formulación del sistema de ecuaciones</w:t>
      </w:r>
    </w:p>
    <w:p w14:paraId="3ED50CBB" w14:textId="77777777" w:rsidR="004B3850" w:rsidRDefault="006C3FE8">
      <w:pPr>
        <w:spacing w:after="160"/>
        <w:jc w:val="both"/>
      </w:pPr>
      <w:r>
        <w:t>Este anexo recoge la formulación matemática completa del sistema de cuatro ecuaciones que constituye el modelo estructural de la evaluación. Debe leerse como una expresión abreviada de la lógica causal descrita en el cuerpo del informe.</w:t>
      </w:r>
    </w:p>
    <w:p w14:paraId="0E56290B" w14:textId="77777777" w:rsidR="004B3850" w:rsidRDefault="006C3FE8">
      <w:pPr>
        <w:pStyle w:val="Ttulo2"/>
      </w:pPr>
      <w:r>
        <w:t>A.1. Ecuación de digitalización integrada</w:t>
      </w:r>
    </w:p>
    <w:p w14:paraId="1A714CF0" w14:textId="77777777" w:rsidR="004B3850" w:rsidRDefault="006C3FE8">
      <w:pPr>
        <w:spacing w:after="160"/>
        <w:jc w:val="both"/>
      </w:pPr>
      <w:proofErr w:type="spellStart"/>
      <w:r>
        <w:t>DIGINTit</w:t>
      </w:r>
      <w:proofErr w:type="spellEnd"/>
      <w:r>
        <w:t xml:space="preserve"> = α₀ + α₁ </w:t>
      </w:r>
      <w:proofErr w:type="spellStart"/>
      <w:r>
        <w:t>ABSCAPit</w:t>
      </w:r>
      <w:proofErr w:type="spellEnd"/>
      <w:r>
        <w:t xml:space="preserve"> + α₂ </w:t>
      </w:r>
      <w:proofErr w:type="spellStart"/>
      <w:r>
        <w:t>Doseit</w:t>
      </w:r>
      <w:proofErr w:type="spellEnd"/>
      <w:r>
        <w:t xml:space="preserve"> + α₃ </w:t>
      </w:r>
      <w:proofErr w:type="spellStart"/>
      <w:r>
        <w:t>Xit</w:t>
      </w:r>
      <w:proofErr w:type="spellEnd"/>
      <w:r>
        <w:t xml:space="preserve"> + </w:t>
      </w:r>
      <w:proofErr w:type="spellStart"/>
      <w:r>
        <w:t>τt</w:t>
      </w:r>
      <w:proofErr w:type="spellEnd"/>
      <w:r>
        <w:t xml:space="preserve"> + </w:t>
      </w:r>
      <w:proofErr w:type="spellStart"/>
      <w:r>
        <w:t>uit</w:t>
      </w:r>
      <w:proofErr w:type="spellEnd"/>
    </w:p>
    <w:p w14:paraId="07A140AC" w14:textId="77777777" w:rsidR="004B3850" w:rsidRDefault="006C3FE8">
      <w:pPr>
        <w:spacing w:after="160"/>
        <w:jc w:val="both"/>
      </w:pPr>
      <w:r>
        <w:t>Variable dependiente: nivel de digitalización integrada de la empresa i en el año t. Mide el grado en que la empresa ha incorporado tecnologías digitales en sus procesos de gestión, producción y relación con proveedores (ERP, digitalización de líneas, BI, mantenimiento predictivo, interacción digital con suministradores).</w:t>
      </w:r>
    </w:p>
    <w:p w14:paraId="503AC3C6" w14:textId="77777777" w:rsidR="004B3850" w:rsidRDefault="006C3FE8">
      <w:pPr>
        <w:spacing w:after="160"/>
        <w:jc w:val="both"/>
      </w:pPr>
      <w:proofErr w:type="spellStart"/>
      <w:r>
        <w:t>ABSCAPit</w:t>
      </w:r>
      <w:proofErr w:type="spellEnd"/>
      <w:r>
        <w:t>: capacidad de absorción tecnológica y capital humano. Mide la capacidad de la empresa para adquirir, asimilar, transformar y utilizar conocimiento externo, apoyándose en formación, competencias digitales, capacidades de gestión del cambio y habilidades de analítica de datos.</w:t>
      </w:r>
    </w:p>
    <w:p w14:paraId="79757318" w14:textId="77777777" w:rsidR="004B3850" w:rsidRDefault="006C3FE8">
      <w:pPr>
        <w:spacing w:after="160"/>
        <w:jc w:val="both"/>
      </w:pPr>
      <w:proofErr w:type="spellStart"/>
      <w:r>
        <w:t>Doseit</w:t>
      </w:r>
      <w:proofErr w:type="spellEnd"/>
      <w:r>
        <w:t>: intensidad de tratamiento. Refleja el grado de exposición de la empresa a la ayuda del PERTE VEC, medida como ayuda recibida normalizada por una magnitud pretratamiento (empleo, ventas o inversión elegible).</w:t>
      </w:r>
    </w:p>
    <w:p w14:paraId="29CD5CB3" w14:textId="77777777" w:rsidR="004B3850" w:rsidRDefault="006C3FE8">
      <w:pPr>
        <w:spacing w:after="160"/>
        <w:jc w:val="both"/>
      </w:pPr>
      <w:proofErr w:type="spellStart"/>
      <w:r>
        <w:t>Xit</w:t>
      </w:r>
      <w:proofErr w:type="spellEnd"/>
      <w:r>
        <w:t>: vector de variables de control observables (tamaño, facturación, exportaciones, intensidad de I+D, productividad, cualificación laboral, CNAE, posición en la cadena de valor).</w:t>
      </w:r>
    </w:p>
    <w:p w14:paraId="466A17F8" w14:textId="77777777" w:rsidR="004B3850" w:rsidRDefault="006C3FE8">
      <w:pPr>
        <w:spacing w:after="160"/>
        <w:jc w:val="both"/>
      </w:pPr>
      <w:proofErr w:type="spellStart"/>
      <w:r>
        <w:t>τt</w:t>
      </w:r>
      <w:proofErr w:type="spellEnd"/>
      <w:r>
        <w:t>: efecto temporal común del año t. Recoge shocks agregados o tendencias comunes a todas las empresas en cada año.</w:t>
      </w:r>
    </w:p>
    <w:p w14:paraId="6F264FDF" w14:textId="77777777" w:rsidR="004B3850" w:rsidRDefault="006C3FE8">
      <w:pPr>
        <w:spacing w:after="160"/>
        <w:jc w:val="both"/>
      </w:pPr>
      <w:proofErr w:type="spellStart"/>
      <w:r>
        <w:t>uit</w:t>
      </w:r>
      <w:proofErr w:type="spellEnd"/>
      <w:r>
        <w:t>: término de error que captura factores no observados que afectan a DIGINT y que no están recogidos por las variables explicativas.</w:t>
      </w:r>
    </w:p>
    <w:p w14:paraId="2BD3027E" w14:textId="77777777" w:rsidR="004B3850" w:rsidRDefault="006C3FE8">
      <w:pPr>
        <w:pStyle w:val="Ttulo2"/>
      </w:pPr>
      <w:r>
        <w:t>A.2. Ecuación de automatización avanzada</w:t>
      </w:r>
    </w:p>
    <w:p w14:paraId="59136594" w14:textId="77777777" w:rsidR="004B3850" w:rsidRDefault="006C3FE8">
      <w:pPr>
        <w:spacing w:after="160"/>
        <w:jc w:val="both"/>
      </w:pPr>
      <w:r>
        <w:t xml:space="preserve">AUTO4it = β₀ + β₁ </w:t>
      </w:r>
      <w:proofErr w:type="spellStart"/>
      <w:r>
        <w:t>DIGINTit</w:t>
      </w:r>
      <w:proofErr w:type="spellEnd"/>
      <w:r>
        <w:t xml:space="preserve"> + β₂ </w:t>
      </w:r>
      <w:proofErr w:type="spellStart"/>
      <w:r>
        <w:t>ABSCAPit</w:t>
      </w:r>
      <w:proofErr w:type="spellEnd"/>
      <w:r>
        <w:t xml:space="preserve"> + β₃ </w:t>
      </w:r>
      <w:proofErr w:type="spellStart"/>
      <w:r>
        <w:t>Doseit</w:t>
      </w:r>
      <w:proofErr w:type="spellEnd"/>
      <w:r>
        <w:t xml:space="preserve"> + β₄ </w:t>
      </w:r>
      <w:proofErr w:type="spellStart"/>
      <w:r>
        <w:t>Xit</w:t>
      </w:r>
      <w:proofErr w:type="spellEnd"/>
      <w:r>
        <w:t xml:space="preserve"> + </w:t>
      </w:r>
      <w:proofErr w:type="spellStart"/>
      <w:r>
        <w:t>τt</w:t>
      </w:r>
      <w:proofErr w:type="spellEnd"/>
      <w:r>
        <w:t xml:space="preserve"> + </w:t>
      </w:r>
      <w:proofErr w:type="spellStart"/>
      <w:r>
        <w:t>vit</w:t>
      </w:r>
      <w:proofErr w:type="spellEnd"/>
    </w:p>
    <w:p w14:paraId="582CB562" w14:textId="77777777" w:rsidR="004B3850" w:rsidRDefault="006C3FE8">
      <w:pPr>
        <w:spacing w:after="160"/>
        <w:jc w:val="both"/>
      </w:pPr>
      <w:proofErr w:type="spellStart"/>
      <w:r>
        <w:t>DIGINTit</w:t>
      </w:r>
      <w:proofErr w:type="spellEnd"/>
      <w:r>
        <w:t xml:space="preserve"> se introduce como mecanismo previo: una empresa más digitalizada tiene más capacidad para desplegar automatización avanzada (simulación, gemelos digitales, robots, visión artificial, automatización logística).</w:t>
      </w:r>
    </w:p>
    <w:p w14:paraId="4637498B" w14:textId="77777777" w:rsidR="004B3850" w:rsidRDefault="006C3FE8">
      <w:pPr>
        <w:pStyle w:val="Ttulo2"/>
      </w:pPr>
      <w:r>
        <w:t>A.3. Ecuación de sostenibilidad operativa</w:t>
      </w:r>
    </w:p>
    <w:p w14:paraId="520D2446" w14:textId="77777777" w:rsidR="004B3850" w:rsidRDefault="006C3FE8">
      <w:pPr>
        <w:spacing w:after="160"/>
        <w:jc w:val="both"/>
      </w:pPr>
      <w:proofErr w:type="spellStart"/>
      <w:r>
        <w:t>SUSTOPit</w:t>
      </w:r>
      <w:proofErr w:type="spellEnd"/>
      <w:r>
        <w:t xml:space="preserve"> = γ₀ + γ₁ </w:t>
      </w:r>
      <w:proofErr w:type="spellStart"/>
      <w:r>
        <w:t>ABSCAPit</w:t>
      </w:r>
      <w:proofErr w:type="spellEnd"/>
      <w:r>
        <w:t xml:space="preserve"> + γ₂ </w:t>
      </w:r>
      <w:proofErr w:type="spellStart"/>
      <w:r>
        <w:t>Doseit</w:t>
      </w:r>
      <w:proofErr w:type="spellEnd"/>
      <w:r>
        <w:t xml:space="preserve"> + γ₃ </w:t>
      </w:r>
      <w:proofErr w:type="spellStart"/>
      <w:r>
        <w:t>Xit</w:t>
      </w:r>
      <w:proofErr w:type="spellEnd"/>
      <w:r>
        <w:t xml:space="preserve"> + </w:t>
      </w:r>
      <w:proofErr w:type="spellStart"/>
      <w:r>
        <w:t>τt</w:t>
      </w:r>
      <w:proofErr w:type="spellEnd"/>
      <w:r>
        <w:t xml:space="preserve"> + </w:t>
      </w:r>
      <w:proofErr w:type="spellStart"/>
      <w:r>
        <w:t>wit</w:t>
      </w:r>
      <w:proofErr w:type="spellEnd"/>
    </w:p>
    <w:p w14:paraId="5D3575E8" w14:textId="77777777" w:rsidR="004B3850" w:rsidRDefault="006C3FE8">
      <w:pPr>
        <w:spacing w:after="160"/>
        <w:jc w:val="both"/>
      </w:pPr>
      <w:r>
        <w:t>Mide la transformación operativa vinculada a eficiencia energética, renovables, reducción de emisiones, gestión del agua, residuos y reciclaje. No se refiere a la gobernanza ambiental formal sino al desempeño operativo ambiental efectivo.</w:t>
      </w:r>
    </w:p>
    <w:p w14:paraId="66F9355F" w14:textId="77777777" w:rsidR="004B3850" w:rsidRDefault="006C3FE8">
      <w:pPr>
        <w:pStyle w:val="Ttulo2"/>
      </w:pPr>
      <w:r>
        <w:t>A.4. Ecuación de ecosistema</w:t>
      </w:r>
    </w:p>
    <w:p w14:paraId="01817387" w14:textId="77777777" w:rsidR="004B3850" w:rsidRDefault="006C3FE8">
      <w:pPr>
        <w:spacing w:after="160"/>
        <w:jc w:val="both"/>
      </w:pPr>
      <w:proofErr w:type="spellStart"/>
      <w:r>
        <w:t>ECOSit</w:t>
      </w:r>
      <w:proofErr w:type="spellEnd"/>
      <w:r>
        <w:t xml:space="preserve"> = δ₀ + δ₁ </w:t>
      </w:r>
      <w:proofErr w:type="spellStart"/>
      <w:r>
        <w:t>DIGINTit</w:t>
      </w:r>
      <w:proofErr w:type="spellEnd"/>
      <w:r>
        <w:t xml:space="preserve"> + δ₂ AUTO4it + δ₃ </w:t>
      </w:r>
      <w:proofErr w:type="spellStart"/>
      <w:r>
        <w:t>SUSTOPit</w:t>
      </w:r>
      <w:proofErr w:type="spellEnd"/>
      <w:r>
        <w:t xml:space="preserve"> + δ₄ </w:t>
      </w:r>
      <w:proofErr w:type="spellStart"/>
      <w:r>
        <w:t>ABSCAPit</w:t>
      </w:r>
      <w:proofErr w:type="spellEnd"/>
      <w:r>
        <w:t xml:space="preserve"> + δ₅ </w:t>
      </w:r>
      <w:proofErr w:type="spellStart"/>
      <w:r>
        <w:t>Doseit</w:t>
      </w:r>
      <w:proofErr w:type="spellEnd"/>
      <w:r>
        <w:t xml:space="preserve"> + δ₆ </w:t>
      </w:r>
      <w:proofErr w:type="spellStart"/>
      <w:r>
        <w:t>Xit</w:t>
      </w:r>
      <w:proofErr w:type="spellEnd"/>
      <w:r>
        <w:t xml:space="preserve"> + </w:t>
      </w:r>
      <w:proofErr w:type="spellStart"/>
      <w:r>
        <w:t>τt</w:t>
      </w:r>
      <w:proofErr w:type="spellEnd"/>
      <w:r>
        <w:t xml:space="preserve"> + </w:t>
      </w:r>
      <w:proofErr w:type="spellStart"/>
      <w:r>
        <w:t>eit</w:t>
      </w:r>
      <w:proofErr w:type="spellEnd"/>
    </w:p>
    <w:p w14:paraId="5E39B8BD" w14:textId="77777777" w:rsidR="004B3850" w:rsidRDefault="006C3FE8">
      <w:pPr>
        <w:spacing w:after="160"/>
        <w:jc w:val="both"/>
      </w:pPr>
      <w:r>
        <w:lastRenderedPageBreak/>
        <w:t>ECOS es el resultado final del modelo. Representa la capacidad de la empresa para generar o reforzar redes productivas, conectividad tecnológica-sectorial y colaboración estable con otros agentes del sistema productivo.</w:t>
      </w:r>
    </w:p>
    <w:p w14:paraId="67711B6D" w14:textId="77777777" w:rsidR="004B3850" w:rsidRDefault="006C3FE8">
      <w:pPr>
        <w:pStyle w:val="Ttulo2"/>
      </w:pPr>
      <w:r>
        <w:t>A.5. Sistema con dosis diferenciadas por tipología</w:t>
      </w:r>
    </w:p>
    <w:p w14:paraId="7936180F" w14:textId="77777777" w:rsidR="004B3850" w:rsidRDefault="006C3FE8">
      <w:pPr>
        <w:spacing w:after="160"/>
        <w:jc w:val="both"/>
      </w:pPr>
      <w:r>
        <w:t>Cuando una empresa participa simultáneamente en varios tipos de proyecto, se incorporan tres variables de dosis diferenciadas en lugar de una única variable de tratamiento:</w:t>
      </w:r>
    </w:p>
    <w:p w14:paraId="2B45F422" w14:textId="77777777" w:rsidR="004B3850" w:rsidRDefault="006C3FE8">
      <w:pPr>
        <w:spacing w:after="160"/>
        <w:jc w:val="both"/>
      </w:pPr>
      <w:proofErr w:type="spellStart"/>
      <w:r>
        <w:t>DoseINVit</w:t>
      </w:r>
      <w:proofErr w:type="spellEnd"/>
      <w:r>
        <w:t xml:space="preserve"> = importe ejecutado en proyectos de Investigación por la empresa i en el año t, normalizado por empleo base.</w:t>
      </w:r>
    </w:p>
    <w:p w14:paraId="35B3796B" w14:textId="77777777" w:rsidR="004B3850" w:rsidRDefault="006C3FE8">
      <w:pPr>
        <w:spacing w:after="160"/>
        <w:jc w:val="both"/>
      </w:pPr>
      <w:proofErr w:type="spellStart"/>
      <w:r>
        <w:t>DoseDEVit</w:t>
      </w:r>
      <w:proofErr w:type="spellEnd"/>
      <w:r>
        <w:t xml:space="preserve"> = importe ejecutado en proyectos de Desarrollo experimental, normalizado por empleo base.</w:t>
      </w:r>
    </w:p>
    <w:p w14:paraId="4145D922" w14:textId="77777777" w:rsidR="004B3850" w:rsidRDefault="006C3FE8">
      <w:pPr>
        <w:spacing w:after="160"/>
        <w:jc w:val="both"/>
      </w:pPr>
      <w:proofErr w:type="spellStart"/>
      <w:r>
        <w:t>DoseABSit</w:t>
      </w:r>
      <w:proofErr w:type="spellEnd"/>
      <w:r>
        <w:t xml:space="preserve"> = importe ejecutado en proyectos de Formación/Absorción, normalizado por empleo base.</w:t>
      </w:r>
    </w:p>
    <w:p w14:paraId="2FA7D055" w14:textId="77777777" w:rsidR="004B3850" w:rsidRDefault="006C3FE8">
      <w:pPr>
        <w:spacing w:after="160"/>
        <w:jc w:val="both"/>
      </w:pPr>
      <w:r>
        <w:t>El sistema completo queda:</w:t>
      </w:r>
    </w:p>
    <w:p w14:paraId="53F024B2" w14:textId="77777777" w:rsidR="004B3850" w:rsidRDefault="006C3FE8">
      <w:pPr>
        <w:spacing w:after="160"/>
        <w:jc w:val="both"/>
      </w:pPr>
      <w:proofErr w:type="spellStart"/>
      <w:r>
        <w:t>DIGINTit</w:t>
      </w:r>
      <w:proofErr w:type="spellEnd"/>
      <w:r>
        <w:t xml:space="preserve"> = α₀ + α₁ </w:t>
      </w:r>
      <w:proofErr w:type="spellStart"/>
      <w:r>
        <w:t>ABSCAPit</w:t>
      </w:r>
      <w:proofErr w:type="spellEnd"/>
      <w:r>
        <w:t xml:space="preserve"> + α₂ </w:t>
      </w:r>
      <w:proofErr w:type="spellStart"/>
      <w:r>
        <w:t>DoseINVit</w:t>
      </w:r>
      <w:proofErr w:type="spellEnd"/>
      <w:r>
        <w:t xml:space="preserve"> + α₃ </w:t>
      </w:r>
      <w:proofErr w:type="spellStart"/>
      <w:r>
        <w:t>DoseDEVit</w:t>
      </w:r>
      <w:proofErr w:type="spellEnd"/>
      <w:r>
        <w:t xml:space="preserve"> + α₄ </w:t>
      </w:r>
      <w:proofErr w:type="spellStart"/>
      <w:r>
        <w:t>DoseABSit</w:t>
      </w:r>
      <w:proofErr w:type="spellEnd"/>
      <w:r>
        <w:t xml:space="preserve"> + α₅ </w:t>
      </w:r>
      <w:proofErr w:type="spellStart"/>
      <w:r>
        <w:t>Xit</w:t>
      </w:r>
      <w:proofErr w:type="spellEnd"/>
      <w:r>
        <w:t xml:space="preserve"> + </w:t>
      </w:r>
      <w:proofErr w:type="spellStart"/>
      <w:r>
        <w:t>τt</w:t>
      </w:r>
      <w:proofErr w:type="spellEnd"/>
      <w:r>
        <w:t xml:space="preserve"> + </w:t>
      </w:r>
      <w:proofErr w:type="spellStart"/>
      <w:r>
        <w:t>uit</w:t>
      </w:r>
      <w:proofErr w:type="spellEnd"/>
    </w:p>
    <w:p w14:paraId="3EBC9602" w14:textId="77777777" w:rsidR="004B3850" w:rsidRDefault="006C3FE8">
      <w:pPr>
        <w:spacing w:after="160"/>
        <w:jc w:val="both"/>
      </w:pPr>
      <w:r>
        <w:t xml:space="preserve">AUTO4it = β₀ + β₁ </w:t>
      </w:r>
      <w:proofErr w:type="spellStart"/>
      <w:r>
        <w:t>DIGINTit</w:t>
      </w:r>
      <w:proofErr w:type="spellEnd"/>
      <w:r>
        <w:t xml:space="preserve"> + β₂ </w:t>
      </w:r>
      <w:proofErr w:type="spellStart"/>
      <w:r>
        <w:t>ABSCAPit</w:t>
      </w:r>
      <w:proofErr w:type="spellEnd"/>
      <w:r>
        <w:t xml:space="preserve"> + β₃ </w:t>
      </w:r>
      <w:proofErr w:type="spellStart"/>
      <w:r>
        <w:t>DoseINVit</w:t>
      </w:r>
      <w:proofErr w:type="spellEnd"/>
      <w:r>
        <w:t xml:space="preserve"> + β₄ </w:t>
      </w:r>
      <w:proofErr w:type="spellStart"/>
      <w:r>
        <w:t>DoseDEVit</w:t>
      </w:r>
      <w:proofErr w:type="spellEnd"/>
      <w:r>
        <w:t xml:space="preserve"> + β₅ </w:t>
      </w:r>
      <w:proofErr w:type="spellStart"/>
      <w:r>
        <w:t>DoseABSit</w:t>
      </w:r>
      <w:proofErr w:type="spellEnd"/>
      <w:r>
        <w:t xml:space="preserve"> + β₆ </w:t>
      </w:r>
      <w:proofErr w:type="spellStart"/>
      <w:r>
        <w:t>Xit</w:t>
      </w:r>
      <w:proofErr w:type="spellEnd"/>
      <w:r>
        <w:t xml:space="preserve"> + </w:t>
      </w:r>
      <w:proofErr w:type="spellStart"/>
      <w:r>
        <w:t>τt</w:t>
      </w:r>
      <w:proofErr w:type="spellEnd"/>
      <w:r>
        <w:t xml:space="preserve"> + </w:t>
      </w:r>
      <w:proofErr w:type="spellStart"/>
      <w:r>
        <w:t>vit</w:t>
      </w:r>
      <w:proofErr w:type="spellEnd"/>
    </w:p>
    <w:p w14:paraId="63D3A04B" w14:textId="77777777" w:rsidR="004B3850" w:rsidRDefault="006C3FE8">
      <w:pPr>
        <w:spacing w:after="160"/>
        <w:jc w:val="both"/>
      </w:pPr>
      <w:proofErr w:type="spellStart"/>
      <w:r>
        <w:t>SUSTOPit</w:t>
      </w:r>
      <w:proofErr w:type="spellEnd"/>
      <w:r>
        <w:t xml:space="preserve"> = γ₀ + γ₁ </w:t>
      </w:r>
      <w:proofErr w:type="spellStart"/>
      <w:r>
        <w:t>ABSCAPit</w:t>
      </w:r>
      <w:proofErr w:type="spellEnd"/>
      <w:r>
        <w:t xml:space="preserve"> + γ₂ </w:t>
      </w:r>
      <w:proofErr w:type="spellStart"/>
      <w:r>
        <w:t>DoseINVit</w:t>
      </w:r>
      <w:proofErr w:type="spellEnd"/>
      <w:r>
        <w:t xml:space="preserve"> + γ₃ </w:t>
      </w:r>
      <w:proofErr w:type="spellStart"/>
      <w:r>
        <w:t>DoseDEVit</w:t>
      </w:r>
      <w:proofErr w:type="spellEnd"/>
      <w:r>
        <w:t xml:space="preserve"> + γ₄ </w:t>
      </w:r>
      <w:proofErr w:type="spellStart"/>
      <w:r>
        <w:t>DoseABSit</w:t>
      </w:r>
      <w:proofErr w:type="spellEnd"/>
      <w:r>
        <w:t xml:space="preserve"> + γ₅ </w:t>
      </w:r>
      <w:proofErr w:type="spellStart"/>
      <w:r>
        <w:t>Xit</w:t>
      </w:r>
      <w:proofErr w:type="spellEnd"/>
      <w:r>
        <w:t xml:space="preserve"> + </w:t>
      </w:r>
      <w:proofErr w:type="spellStart"/>
      <w:r>
        <w:t>τt</w:t>
      </w:r>
      <w:proofErr w:type="spellEnd"/>
      <w:r>
        <w:t xml:space="preserve"> + </w:t>
      </w:r>
      <w:proofErr w:type="spellStart"/>
      <w:r>
        <w:t>wit</w:t>
      </w:r>
      <w:proofErr w:type="spellEnd"/>
    </w:p>
    <w:p w14:paraId="48B947B8" w14:textId="77777777" w:rsidR="004B3850" w:rsidRDefault="006C3FE8">
      <w:pPr>
        <w:spacing w:after="160"/>
        <w:jc w:val="both"/>
      </w:pPr>
      <w:proofErr w:type="spellStart"/>
      <w:r>
        <w:t>ECOSit</w:t>
      </w:r>
      <w:proofErr w:type="spellEnd"/>
      <w:r>
        <w:t xml:space="preserve"> = δ₀ + δ₁ </w:t>
      </w:r>
      <w:proofErr w:type="spellStart"/>
      <w:r>
        <w:t>DIGINTit</w:t>
      </w:r>
      <w:proofErr w:type="spellEnd"/>
      <w:r>
        <w:t xml:space="preserve"> + δ₂ AUTO4it + δ₃ </w:t>
      </w:r>
      <w:proofErr w:type="spellStart"/>
      <w:r>
        <w:t>SUSTOPit</w:t>
      </w:r>
      <w:proofErr w:type="spellEnd"/>
      <w:r>
        <w:t xml:space="preserve"> + δ₄ </w:t>
      </w:r>
      <w:proofErr w:type="spellStart"/>
      <w:r>
        <w:t>ABSCAPit</w:t>
      </w:r>
      <w:proofErr w:type="spellEnd"/>
      <w:r>
        <w:t xml:space="preserve"> + δ₅ </w:t>
      </w:r>
      <w:proofErr w:type="spellStart"/>
      <w:r>
        <w:t>DoseINVit</w:t>
      </w:r>
      <w:proofErr w:type="spellEnd"/>
      <w:r>
        <w:t xml:space="preserve"> + δ₆ </w:t>
      </w:r>
      <w:proofErr w:type="spellStart"/>
      <w:r>
        <w:t>DoseDEVit</w:t>
      </w:r>
      <w:proofErr w:type="spellEnd"/>
      <w:r>
        <w:t xml:space="preserve"> + δ₇ </w:t>
      </w:r>
      <w:proofErr w:type="spellStart"/>
      <w:r>
        <w:t>DoseABSit</w:t>
      </w:r>
      <w:proofErr w:type="spellEnd"/>
      <w:r>
        <w:t xml:space="preserve"> + δ₈ </w:t>
      </w:r>
      <w:proofErr w:type="spellStart"/>
      <w:r>
        <w:t>Xit</w:t>
      </w:r>
      <w:proofErr w:type="spellEnd"/>
      <w:r>
        <w:t xml:space="preserve"> + </w:t>
      </w:r>
      <w:proofErr w:type="spellStart"/>
      <w:r>
        <w:t>τt</w:t>
      </w:r>
      <w:proofErr w:type="spellEnd"/>
      <w:r>
        <w:t xml:space="preserve"> + </w:t>
      </w:r>
      <w:proofErr w:type="spellStart"/>
      <w:r>
        <w:t>eit</w:t>
      </w:r>
      <w:proofErr w:type="spellEnd"/>
    </w:p>
    <w:p w14:paraId="07013BF5" w14:textId="77777777" w:rsidR="004B3850" w:rsidRDefault="006C3FE8">
      <w:pPr>
        <w:spacing w:after="160"/>
        <w:jc w:val="both"/>
      </w:pPr>
      <w:r>
        <w:t>Cautela: no introducir simultáneamente una dosis total y las tres dosis específicas (colinealidad). Verificar la correlación entre las tres dosis antes de la estimación.</w:t>
      </w:r>
    </w:p>
    <w:p w14:paraId="5565DEE0" w14:textId="77777777" w:rsidR="004B3850" w:rsidRDefault="006C3FE8">
      <w:pPr>
        <w:pStyle w:val="Ttulo1"/>
      </w:pPr>
      <w:r>
        <w:t>Anexo B. Construcción de los indicadores sintéticos</w:t>
      </w:r>
    </w:p>
    <w:p w14:paraId="40240C0B" w14:textId="77777777" w:rsidR="004B3850" w:rsidRDefault="006C3FE8">
      <w:pPr>
        <w:spacing w:after="160"/>
        <w:jc w:val="both"/>
      </w:pPr>
      <w:r>
        <w:t>Los cinco constructos del modelo (ABSCAP, DIGINT, AUTO4, SUSTOP, ECOS) son variables latentes que no se observan directamente. Se construyen a partir de los ítems del cuestionario siguiendo el procedimiento que se describe a continuación.</w:t>
      </w:r>
    </w:p>
    <w:p w14:paraId="41EEE593" w14:textId="77777777" w:rsidR="004B3850" w:rsidRDefault="006C3FE8">
      <w:pPr>
        <w:pStyle w:val="Ttulo2"/>
      </w:pPr>
      <w:r>
        <w:t>B.1. Diagnóstico previo</w:t>
      </w:r>
    </w:p>
    <w:p w14:paraId="04EA219B" w14:textId="77777777" w:rsidR="004B3850" w:rsidRDefault="006C3FE8">
      <w:pPr>
        <w:spacing w:after="160"/>
        <w:jc w:val="both"/>
      </w:pPr>
      <w:r>
        <w:t>Antes de agregar los ítems en un indicador deben verificarse tres condiciones. Primera, consistencia interna: los ítems asignados a cada constructo deben tener correlaciones positivas y significativas entre sí. La prueba formal es el Alpha de Cronbach, cuyo valor recomendado es superior a 0,70. Segunda, cobertura: no debe haber un número excesivo de respuestas ausentes, ya que una imputación masiva puede distorsionar el índice. Tercera, ausencia de valores atípicos extremos en variables continuas que puedan</w:t>
      </w:r>
      <w:r>
        <w:t xml:space="preserve"> dominar el índice.</w:t>
      </w:r>
    </w:p>
    <w:p w14:paraId="2517EBAF" w14:textId="77777777" w:rsidR="004B3850" w:rsidRDefault="006C3FE8">
      <w:pPr>
        <w:pStyle w:val="Ttulo2"/>
      </w:pPr>
      <w:r>
        <w:t>B.2. Método de construcción: análisis factorial confirmatorio (AFC)</w:t>
      </w:r>
    </w:p>
    <w:p w14:paraId="21B97124" w14:textId="77777777" w:rsidR="004B3850" w:rsidRDefault="006C3FE8">
      <w:pPr>
        <w:spacing w:after="160"/>
        <w:jc w:val="both"/>
      </w:pPr>
      <w:r>
        <w:t>El método preferido es el Análisis Factorial Confirmatorio (AFC), que permite contrastar si la estructura teórica propuesta —que un conjunto dado de ítems mide el constructo asignado— es coherente con los datos. A diferencia del análisis exploratorio, el AFC parte de una hipótesis teórica sobre qué mide cada pregunta.</w:t>
      </w:r>
    </w:p>
    <w:p w14:paraId="62364060" w14:textId="77777777" w:rsidR="004B3850" w:rsidRDefault="006C3FE8">
      <w:pPr>
        <w:spacing w:after="160"/>
        <w:jc w:val="both"/>
      </w:pPr>
      <w:r>
        <w:t xml:space="preserve">El proceso comprende cuatro pasos. Primero, especificación del modelo de medida y estimación mediante máxima verosimilitud (o mínimos cuadrados ponderados robustos para ítems ordinales). Segundo, evaluación del ajuste: RMSEA &lt; 0,08; CFI &gt; 0,90; SRMR &lt; 0,08. Tercero, revisión de índices de modificación si el ajuste es insatisfactorio, evitando </w:t>
      </w:r>
      <w:proofErr w:type="spellStart"/>
      <w:r>
        <w:t>re-especificaciones</w:t>
      </w:r>
      <w:proofErr w:type="spellEnd"/>
      <w:r>
        <w:t xml:space="preserve"> sin justificación </w:t>
      </w:r>
      <w:r>
        <w:lastRenderedPageBreak/>
        <w:t>sustantiva. Cuarto, cálculo de las puntuaciones factoriales que se usarán como indicadores sintéticos en el sistema estructural.</w:t>
      </w:r>
    </w:p>
    <w:p w14:paraId="56509BF5" w14:textId="77777777" w:rsidR="004B3850" w:rsidRDefault="006C3FE8">
      <w:pPr>
        <w:spacing w:after="160"/>
        <w:jc w:val="both"/>
      </w:pPr>
      <w:r>
        <w:t>Si la muestra es reducida y el AFC resulta inestable, la alternativa es la media aritmética estandarizada de los ítems del bloque. En ningún caso debe usarse la suma bruta sin estandarizar.</w:t>
      </w:r>
    </w:p>
    <w:p w14:paraId="6D7BF439" w14:textId="77777777" w:rsidR="004B3850" w:rsidRDefault="006C3FE8">
      <w:pPr>
        <w:pStyle w:val="Ttulo2"/>
      </w:pPr>
      <w:r>
        <w:t>B.3. Tratamiento de valores ausentes</w:t>
      </w:r>
    </w:p>
    <w:p w14:paraId="47550FF7" w14:textId="77777777" w:rsidR="004B3850" w:rsidRDefault="006C3FE8">
      <w:pPr>
        <w:spacing w:after="160"/>
        <w:jc w:val="both"/>
      </w:pPr>
      <w:r>
        <w:t>Se aplicará imputación múltiple mediante el método MICE (</w:t>
      </w:r>
      <w:proofErr w:type="spellStart"/>
      <w:r>
        <w:t>Multiple</w:t>
      </w:r>
      <w:proofErr w:type="spellEnd"/>
      <w:r>
        <w:t xml:space="preserve"> </w:t>
      </w:r>
      <w:proofErr w:type="spellStart"/>
      <w:r>
        <w:t>Imputation</w:t>
      </w:r>
      <w:proofErr w:type="spellEnd"/>
      <w:r>
        <w:t xml:space="preserve"> </w:t>
      </w:r>
      <w:proofErr w:type="spellStart"/>
      <w:r>
        <w:t>by</w:t>
      </w:r>
      <w:proofErr w:type="spellEnd"/>
      <w:r>
        <w:t xml:space="preserve"> </w:t>
      </w:r>
      <w:proofErr w:type="spellStart"/>
      <w:r>
        <w:t>Chained</w:t>
      </w:r>
      <w:proofErr w:type="spellEnd"/>
      <w:r>
        <w:t xml:space="preserve"> </w:t>
      </w:r>
      <w:proofErr w:type="spellStart"/>
      <w:r>
        <w:t>Equations</w:t>
      </w:r>
      <w:proofErr w:type="spellEnd"/>
      <w:r>
        <w:t xml:space="preserve">), que genera varias versiones del conjunto de datos con distintos valores imputados y combina los resultados con las reglas de </w:t>
      </w:r>
      <w:proofErr w:type="spellStart"/>
      <w:r>
        <w:t>Rubin</w:t>
      </w:r>
      <w:proofErr w:type="spellEnd"/>
      <w:r>
        <w:t>. Esta estrategia es preferible a la eliminación de casos completos (</w:t>
      </w:r>
      <w:proofErr w:type="spellStart"/>
      <w:r>
        <w:t>listwise</w:t>
      </w:r>
      <w:proofErr w:type="spellEnd"/>
      <w:r>
        <w:t xml:space="preserve"> </w:t>
      </w:r>
      <w:proofErr w:type="spellStart"/>
      <w:r>
        <w:t>deletion</w:t>
      </w:r>
      <w:proofErr w:type="spellEnd"/>
      <w:r>
        <w:t>) y a la imputación por la media. Los resultados principales se presentarán bajo la imputación múltiple como especificación base, con la estimación por eliminación de casos como análisis de sensibilidad.</w:t>
      </w:r>
    </w:p>
    <w:p w14:paraId="255247E1" w14:textId="77777777" w:rsidR="004B3850" w:rsidRDefault="006C3FE8">
      <w:pPr>
        <w:pStyle w:val="Ttulo2"/>
      </w:pPr>
      <w:r>
        <w:t>B.4. Matriz resumida de constructos e indicadores</w:t>
      </w:r>
    </w:p>
    <w:p w14:paraId="609C51B6" w14:textId="77777777" w:rsidR="004B3850" w:rsidRDefault="006C3FE8">
      <w:pPr>
        <w:spacing w:after="160"/>
        <w:jc w:val="both"/>
      </w:pPr>
      <w:r>
        <w:t>(Ver tabla en documento original — Anexo B del informe base — para la correspondencia operativa entre bloques de preguntas del cuestionario, transformación estadística recomendada y constructo de destino.)</w:t>
      </w:r>
    </w:p>
    <w:p w14:paraId="67F79E30" w14:textId="77777777" w:rsidR="004B3850" w:rsidRDefault="006C3FE8">
      <w:pPr>
        <w:pStyle w:val="Ttulo1"/>
      </w:pPr>
      <w:r>
        <w:t>Anexo C. Estrategia de identificación causal y estimación por MC2E</w:t>
      </w:r>
    </w:p>
    <w:p w14:paraId="217C86EF" w14:textId="77777777" w:rsidR="004B3850" w:rsidRDefault="006C3FE8">
      <w:pPr>
        <w:spacing w:after="160"/>
        <w:jc w:val="both"/>
      </w:pPr>
      <w:r>
        <w:t>Este anexo aborda el problema de endogeneidad del sistema simultáneo y describe la estrategia de estimación para resolverlo.</w:t>
      </w:r>
    </w:p>
    <w:p w14:paraId="41513D17" w14:textId="77777777" w:rsidR="004B3850" w:rsidRDefault="006C3FE8">
      <w:pPr>
        <w:pStyle w:val="Ttulo2"/>
      </w:pPr>
      <w:r>
        <w:t>C.1. El problema de la endogeneidad</w:t>
      </w:r>
    </w:p>
    <w:p w14:paraId="64A17305" w14:textId="77777777" w:rsidR="004B3850" w:rsidRDefault="006C3FE8">
      <w:pPr>
        <w:spacing w:after="160"/>
        <w:jc w:val="both"/>
      </w:pPr>
      <w:r>
        <w:t>En el sistema estructural, DIGINT aparece como variable dependiente en la primera ecuación y como regresor en la segunda y en la cuarta. AUTO4 y SUSTOP tienen el mismo doble papel. Esta estructura genera correlación entre esas variables y los términos de error de las ecuaciones en que aparecen como regresores. Si esa correlación existe, la estimación por OLS producirá coeficientes sesgados e inconsistentes, incluso en muestras grandes.</w:t>
      </w:r>
    </w:p>
    <w:p w14:paraId="20C67497" w14:textId="77777777" w:rsidR="004B3850" w:rsidRDefault="006C3FE8">
      <w:pPr>
        <w:pStyle w:val="Ttulo2"/>
      </w:pPr>
      <w:r>
        <w:t>C.2. Estrategia de estimación: MC2E</w:t>
      </w:r>
    </w:p>
    <w:p w14:paraId="78737C4D" w14:textId="77777777" w:rsidR="004B3850" w:rsidRDefault="006C3FE8">
      <w:pPr>
        <w:spacing w:after="160"/>
        <w:jc w:val="both"/>
      </w:pPr>
      <w:r>
        <w:t>Se aplica el estimador de mínimos cuadrados en dos etapas (MC2E) ecuación por ecuación. En la primera etapa se regresa cada variable endógena problemática sobre sus instrumentos y sobre los demás regresores exógenos del sistema, obteniendo valores ajustados. En la segunda etapa, esos valores ajustados reemplazan a las variables endógenas en la ecuación estructural. Como estimación de sensibilidad se aplicará MC3E o FIML, que explotan la correlación entre los errores de las distintas ecuaciones y son más efi</w:t>
      </w:r>
      <w:r>
        <w:t>cientes, pero también más sensibles a errores de especificación.</w:t>
      </w:r>
    </w:p>
    <w:p w14:paraId="01747FB3" w14:textId="77777777" w:rsidR="004B3850" w:rsidRDefault="006C3FE8">
      <w:pPr>
        <w:pStyle w:val="Ttulo2"/>
      </w:pPr>
      <w:r>
        <w:t>C.3. Instrumentos: criterios y candidatos</w:t>
      </w:r>
    </w:p>
    <w:p w14:paraId="6D53B4E4" w14:textId="77777777" w:rsidR="004B3850" w:rsidRDefault="006C3FE8">
      <w:pPr>
        <w:spacing w:after="160"/>
        <w:jc w:val="both"/>
      </w:pPr>
      <w:r>
        <w:t>Un instrumento válido debe cumplir dos condiciones: relevancia (correlacionado con la variable endógena que instrumenta) y exogeneidad (no correlacionado con el término de error de la ecuación estructural).</w:t>
      </w:r>
    </w:p>
    <w:p w14:paraId="3F4F77E1" w14:textId="77777777" w:rsidR="004B3850" w:rsidRDefault="006C3FE8">
      <w:pPr>
        <w:spacing w:after="160"/>
        <w:jc w:val="both"/>
      </w:pPr>
      <w:r>
        <w:t>Para DIGINT: nivel de digitalización en el período pretratamiento, o tasa de digitalización sectorial del CNAE de la empresa. Para las dosis: variables de elegibilidad administrativa (tamaño pretratamiento, existencia de departamento de I+D antes de la solicitud, rezagos de las propias dosis con datos de SABI desde 2019).</w:t>
      </w:r>
    </w:p>
    <w:p w14:paraId="66B6CB14" w14:textId="77777777" w:rsidR="004B3850" w:rsidRDefault="006C3FE8">
      <w:pPr>
        <w:spacing w:after="160"/>
        <w:jc w:val="both"/>
      </w:pPr>
      <w:r>
        <w:t xml:space="preserve">La exogeneidad no es directamente contrastable. Con sistemas </w:t>
      </w:r>
      <w:proofErr w:type="spellStart"/>
      <w:r>
        <w:t>sobreidentificados</w:t>
      </w:r>
      <w:proofErr w:type="spellEnd"/>
      <w:r>
        <w:t xml:space="preserve"> (más instrumentos que variables endógenas) puede valorarse mediante la prueba de Sargan-Hansen, cuyos resultados deben incluirse en el informe de estimación.</w:t>
      </w:r>
    </w:p>
    <w:p w14:paraId="0D999E07" w14:textId="77777777" w:rsidR="004B3850" w:rsidRDefault="006C3FE8">
      <w:pPr>
        <w:pStyle w:val="Ttulo2"/>
      </w:pPr>
      <w:r>
        <w:lastRenderedPageBreak/>
        <w:t>C.4. Prueba de endogeneidad de Wu-Hausman</w:t>
      </w:r>
    </w:p>
    <w:p w14:paraId="59502B43" w14:textId="77777777" w:rsidR="004B3850" w:rsidRDefault="006C3FE8">
      <w:pPr>
        <w:spacing w:after="160"/>
        <w:jc w:val="both"/>
      </w:pPr>
      <w:r>
        <w:t>Antes de aplicar MC2E en cada ecuación, realizar la prueba de Wu-Hausman. Si no se rechaza la hipótesis nula de exogeneidad (p &gt; 0,05), el OLS es consistente y más eficiente, y debe preferirse. Documentar los resultados de la prueba para cada ecuación.</w:t>
      </w:r>
    </w:p>
    <w:p w14:paraId="7398966F" w14:textId="77777777" w:rsidR="004B3850" w:rsidRDefault="006C3FE8">
      <w:pPr>
        <w:pStyle w:val="Ttulo2"/>
      </w:pPr>
      <w:r>
        <w:t>C.5. Guía operativa de estimación</w:t>
      </w:r>
    </w:p>
    <w:p w14:paraId="3FD00C25" w14:textId="77777777" w:rsidR="004B3850" w:rsidRDefault="006C3FE8">
      <w:pPr>
        <w:spacing w:after="160"/>
        <w:jc w:val="both"/>
      </w:pPr>
      <w:r>
        <w:t>Paso 1 — Verificación de la condición de orden de identificación: el número de variables excluidas de cada ecuación debe ser mayor o igual que el número de variables endógenas incluidas como regresores menos uno.</w:t>
      </w:r>
    </w:p>
    <w:p w14:paraId="2B6ECFF8" w14:textId="77777777" w:rsidR="004B3850" w:rsidRDefault="006C3FE8">
      <w:pPr>
        <w:spacing w:after="160"/>
        <w:jc w:val="both"/>
      </w:pPr>
      <w:r>
        <w:t>Paso 2 — Primera etapa: regresión OLS de cada variable endógena sobre todos los instrumentos y exógenos del sistema. Calcular el estadístico F de primera etapa: F &lt; 10 indica instrumentos débiles (Stock y Yogo, 2005); en ese caso, considerar LIML.</w:t>
      </w:r>
    </w:p>
    <w:p w14:paraId="552D1F7B" w14:textId="77777777" w:rsidR="004B3850" w:rsidRDefault="006C3FE8">
      <w:pPr>
        <w:spacing w:after="160"/>
        <w:jc w:val="both"/>
      </w:pPr>
      <w:r>
        <w:t>Paso 3 — Segunda etapa: reemplazar la variable endógena por su valor ajustado. Los errores estándar deben calcularse con los procedimientos MC2E correctos (</w:t>
      </w:r>
      <w:proofErr w:type="spellStart"/>
      <w:r>
        <w:t>ivreg</w:t>
      </w:r>
      <w:proofErr w:type="spellEnd"/>
      <w:r>
        <w:t xml:space="preserve"> en R, </w:t>
      </w:r>
      <w:proofErr w:type="spellStart"/>
      <w:r>
        <w:t>ivregress</w:t>
      </w:r>
      <w:proofErr w:type="spellEnd"/>
      <w:r>
        <w:t xml:space="preserve"> en Stata, IV2SLS en Python mediante </w:t>
      </w:r>
      <w:proofErr w:type="spellStart"/>
      <w:r>
        <w:t>linearmodels</w:t>
      </w:r>
      <w:proofErr w:type="spellEnd"/>
      <w:r>
        <w:t>). No calcular "a mano" en dos regresiones separadas sin corregir los errores estándar.</w:t>
      </w:r>
    </w:p>
    <w:p w14:paraId="3F1D88FA" w14:textId="77777777" w:rsidR="004B3850" w:rsidRDefault="006C3FE8">
      <w:pPr>
        <w:spacing w:after="160"/>
        <w:jc w:val="both"/>
      </w:pPr>
      <w:r>
        <w:t>Paso 4 — Prueba de Wu-Hausman para cada ecuación (ver C.4).</w:t>
      </w:r>
    </w:p>
    <w:p w14:paraId="6B1CA9BF" w14:textId="77777777" w:rsidR="004B3850" w:rsidRDefault="006C3FE8">
      <w:pPr>
        <w:spacing w:after="160"/>
        <w:jc w:val="both"/>
      </w:pPr>
      <w:r>
        <w:t>Paso 5 — Prueba de Sargan-Hansen si el sistema está sobreidentificado.</w:t>
      </w:r>
    </w:p>
    <w:p w14:paraId="45A8F6CD" w14:textId="77777777" w:rsidR="004B3850" w:rsidRDefault="006C3FE8">
      <w:pPr>
        <w:pStyle w:val="Ttulo1"/>
      </w:pPr>
      <w:r>
        <w:t xml:space="preserve">Anexo D. Diseño del análisis externo de impacto: </w:t>
      </w:r>
      <w:proofErr w:type="spellStart"/>
      <w:r>
        <w:t>DiD</w:t>
      </w:r>
      <w:proofErr w:type="spellEnd"/>
      <w:r>
        <w:t xml:space="preserve"> con Control Sintético</w:t>
      </w:r>
    </w:p>
    <w:p w14:paraId="7E10FE65" w14:textId="77777777" w:rsidR="004B3850" w:rsidRDefault="006C3FE8">
      <w:pPr>
        <w:spacing w:after="160"/>
        <w:jc w:val="both"/>
      </w:pPr>
      <w:r>
        <w:t>Este anexo detalla el diseño del análisis externo de impacto, que combina el método de Diferencias en Diferencias (</w:t>
      </w:r>
      <w:proofErr w:type="spellStart"/>
      <w:r>
        <w:t>DiD</w:t>
      </w:r>
      <w:proofErr w:type="spellEnd"/>
      <w:r>
        <w:t xml:space="preserve">) con el Control Sintético para la construcción del grupo de comparación. El </w:t>
      </w:r>
      <w:proofErr w:type="spellStart"/>
      <w:r>
        <w:t>DiD</w:t>
      </w:r>
      <w:proofErr w:type="spellEnd"/>
      <w:r>
        <w:t xml:space="preserve"> es el marco de identificación causal: compara la evolución de las beneficiarias con la de un grupo de empresas comparables no tratadas antes y después de 2023. El Control Sintético es la herramienta para construir ese grupo de comparación de la forma más rigurosa posible, ponderando las empresas de SABI para que su trayectoria pretratamiento (2019–2022) se parezca al máximo a la de las empresas beneficiarias.</w:t>
      </w:r>
    </w:p>
    <w:p w14:paraId="6CFC666B" w14:textId="77777777" w:rsidR="004B3850" w:rsidRDefault="006C3FE8">
      <w:pPr>
        <w:pStyle w:val="Ttulo2"/>
      </w:pPr>
      <w:r>
        <w:t>D.1. Construcción del contrafactual microeconómico</w:t>
      </w:r>
    </w:p>
    <w:p w14:paraId="29F20F48" w14:textId="77777777" w:rsidR="004B3850" w:rsidRDefault="006C3FE8">
      <w:pPr>
        <w:spacing w:after="160"/>
        <w:jc w:val="both"/>
      </w:pPr>
      <w:r>
        <w:t>La fase externa aproxima qué habría ocurrido con las empresas beneficiarias en ausencia del programa. Para ello se construye un contrafactual a partir de empresas no beneficiarias comparables obtenidas de SABI, complementadas cuando sea necesario con ORBIS, OEPM/EPO para patentes y registros de ayudas para depurar controles contaminados.</w:t>
      </w:r>
    </w:p>
    <w:p w14:paraId="46411319" w14:textId="77777777" w:rsidR="004B3850" w:rsidRDefault="006C3FE8">
      <w:pPr>
        <w:spacing w:after="160"/>
        <w:jc w:val="both"/>
      </w:pPr>
      <w:r>
        <w:t xml:space="preserve">Formalmente, si </w:t>
      </w:r>
      <w:proofErr w:type="spellStart"/>
      <w:r>
        <w:t>Y₁t</w:t>
      </w:r>
      <w:proofErr w:type="spellEnd"/>
      <w:r>
        <w:t xml:space="preserve"> es el resultado de la unidad tratada y </w:t>
      </w:r>
      <w:proofErr w:type="spellStart"/>
      <w:r>
        <w:t>Yjt</w:t>
      </w:r>
      <w:proofErr w:type="spellEnd"/>
      <w:r>
        <w:t xml:space="preserve"> el resultado del donante j, el contrafactual sintético se construye como Ŷ</w:t>
      </w:r>
      <w:r>
        <w:t>ᴺ</w:t>
      </w:r>
      <w:r>
        <w:t xml:space="preserve">₁t = Σⱼ </w:t>
      </w:r>
      <w:proofErr w:type="spellStart"/>
      <w:r>
        <w:t>wⱼYjt</w:t>
      </w:r>
      <w:proofErr w:type="spellEnd"/>
      <w:r>
        <w:t xml:space="preserve">, con pesos wⱼ no negativos y suma unitaria. El efecto estimado es τ̂₁t = </w:t>
      </w:r>
      <w:proofErr w:type="spellStart"/>
      <w:r>
        <w:t>Y₁t</w:t>
      </w:r>
      <w:proofErr w:type="spellEnd"/>
      <w:r>
        <w:t xml:space="preserve"> - Ŷ</w:t>
      </w:r>
      <w:r>
        <w:t>ᴺ</w:t>
      </w:r>
      <w:r>
        <w:t>₁t. Una separación persistente entre la trayectoria observada y la sintética, con buen ajuste pretratamiento, constituye la estimación del impacto atribuible.</w:t>
      </w:r>
    </w:p>
    <w:p w14:paraId="49868D09" w14:textId="77777777" w:rsidR="004B3850" w:rsidRDefault="006C3FE8">
      <w:pPr>
        <w:pStyle w:val="Ttulo2"/>
      </w:pPr>
      <w:r>
        <w:t>D.2. Variables de resultado (tabla Y)</w:t>
      </w:r>
    </w:p>
    <w:p w14:paraId="49DD5BC6" w14:textId="77777777" w:rsidR="004B3850" w:rsidRDefault="006C3FE8">
      <w:pPr>
        <w:spacing w:after="160"/>
        <w:jc w:val="both"/>
      </w:pPr>
      <w:r>
        <w:t>Resultados principales: empleo, ventas y productividad laboral. Resultados complementarios: exportaciones, intensidad de I+D y patentes. En esta fase no conviene utilizar variables que solo existen en el cuestionario interno, sino variables observables y homogéneas entre tratadas y donantes.</w:t>
      </w:r>
    </w:p>
    <w:p w14:paraId="4C169C09" w14:textId="77777777" w:rsidR="004B3850" w:rsidRDefault="006C3FE8">
      <w:pPr>
        <w:pStyle w:val="Ttulo2"/>
      </w:pPr>
      <w:r>
        <w:t>D.3. Variables predictoras para la calibración (tabla X)</w:t>
      </w:r>
    </w:p>
    <w:p w14:paraId="1A6CEEB2" w14:textId="77777777" w:rsidR="004B3850" w:rsidRDefault="006C3FE8">
      <w:pPr>
        <w:spacing w:after="160"/>
        <w:jc w:val="both"/>
      </w:pPr>
      <w:r>
        <w:t xml:space="preserve">Predictores estructurales: CNAE a cuatro dígitos, tamaño inicial (empleo y ventas en pretratamiento), intensidad exportadora, ratio de inversión sobre ventas, y productividad laboral </w:t>
      </w:r>
      <w:r>
        <w:lastRenderedPageBreak/>
        <w:t>pretratamiento. Como predictor central del sintético se utilizarán los rezagos de la propia variable de resultado (los valores observados en el período pretratamiento).</w:t>
      </w:r>
    </w:p>
    <w:p w14:paraId="600DEBF1" w14:textId="77777777" w:rsidR="004B3850" w:rsidRDefault="006C3FE8">
      <w:pPr>
        <w:pStyle w:val="Ttulo2"/>
      </w:pPr>
      <w:r>
        <w:t>D.4. Grupo de donantes (pool de comparación)</w:t>
      </w:r>
    </w:p>
    <w:p w14:paraId="11216F1F" w14:textId="77777777" w:rsidR="004B3850" w:rsidRDefault="006C3FE8">
      <w:pPr>
        <w:spacing w:after="160"/>
        <w:jc w:val="both"/>
      </w:pPr>
      <w:r>
        <w:t xml:space="preserve">El pool debe integrarse con empresas no beneficiarias del PERTE VEC comparables en CNAE, tamaño, antigüedad, estructura exportadora y perfil tecnológico previo. Filtros de inclusión: mismo CNAE a dos dígitos que alguna beneficiaria, umbral mínimo de 10 empleados, cuentas depositadas en todos los años 2019–2024. Excluir del pool los </w:t>
      </w:r>
      <w:proofErr w:type="spellStart"/>
      <w:r>
        <w:t>CIFs</w:t>
      </w:r>
      <w:proofErr w:type="spellEnd"/>
      <w:r>
        <w:t xml:space="preserve"> de las 256 empresas beneficiarias.</w:t>
      </w:r>
    </w:p>
    <w:p w14:paraId="4AB0A152" w14:textId="77777777" w:rsidR="004B3850" w:rsidRDefault="006C3FE8">
      <w:pPr>
        <w:spacing w:after="160"/>
        <w:jc w:val="both"/>
      </w:pPr>
      <w:r>
        <w:t>Como especificación principal, construir unidades tratadas agregadas por tipología de proyecto (Investigación, Desarrollo, Formación) en lugar de empresa a empresa, para reducir ruido idiosincrático y mejorar el ajuste pretratamiento.</w:t>
      </w:r>
    </w:p>
    <w:p w14:paraId="7529B54E" w14:textId="77777777" w:rsidR="004B3850" w:rsidRDefault="006C3FE8">
      <w:pPr>
        <w:pStyle w:val="Ttulo2"/>
      </w:pPr>
      <w:r>
        <w:t>D.5. Período de calibración y pruebas de inferencia</w:t>
      </w:r>
    </w:p>
    <w:p w14:paraId="5C1D6E77" w14:textId="77777777" w:rsidR="004B3850" w:rsidRDefault="006C3FE8">
      <w:pPr>
        <w:spacing w:after="160"/>
        <w:jc w:val="both"/>
      </w:pPr>
      <w:r>
        <w:t>Período de ajuste pretratamiento: 2019–2022 (cuatro años completos antes del año de tratamiento). El año de tratamiento es 2023, que es cuando se concedieron las subvenciones, por lo que no puede formar parte del período de verificación del paralelismo. Período postratamiento para la estimación del impacto: 2023–2024 en la primera evaluación, y 2023–2025 en la segunda evaluación cuando esté disponible el cuestionario 2025. Cada evaluación mide el efecto acumulado hasta el último año disponible, no una venta</w:t>
      </w:r>
      <w:r>
        <w:t>na acumulativa.</w:t>
      </w:r>
    </w:p>
    <w:p w14:paraId="7023B241" w14:textId="77777777" w:rsidR="004B3850" w:rsidRDefault="006C3FE8">
      <w:pPr>
        <w:spacing w:after="160"/>
        <w:jc w:val="both"/>
      </w:pPr>
      <w:r>
        <w:t xml:space="preserve">Inferencia mediante </w:t>
      </w:r>
      <w:proofErr w:type="spellStart"/>
      <w:r>
        <w:t>tests</w:t>
      </w:r>
      <w:proofErr w:type="spellEnd"/>
      <w:r>
        <w:t xml:space="preserve"> placebo: aplicar el mismo procedimiento a cada empresa del pool de donantes como si hubiera recibido el tratamiento. Comparar la magnitud de los efectos placebo con el efecto estimado en las beneficiarias usando </w:t>
      </w:r>
      <w:proofErr w:type="gramStart"/>
      <w:r>
        <w:t>el ratio</w:t>
      </w:r>
      <w:proofErr w:type="gramEnd"/>
      <w:r>
        <w:t xml:space="preserve"> RMSPE (Root Mean </w:t>
      </w:r>
      <w:proofErr w:type="spellStart"/>
      <w:r>
        <w:t>Squared</w:t>
      </w:r>
      <w:proofErr w:type="spellEnd"/>
      <w:r>
        <w:t xml:space="preserve"> </w:t>
      </w:r>
      <w:proofErr w:type="spellStart"/>
      <w:r>
        <w:t>Prediction</w:t>
      </w:r>
      <w:proofErr w:type="spellEnd"/>
      <w:r>
        <w:t xml:space="preserve"> Error) pre/post. Excluir de los </w:t>
      </w:r>
      <w:proofErr w:type="spellStart"/>
      <w:r>
        <w:t>tests</w:t>
      </w:r>
      <w:proofErr w:type="spellEnd"/>
      <w:r>
        <w:t xml:space="preserve"> placebo los donantes con ajuste pretratamiento muy pobre. Presentar los resultados gráficamente.</w:t>
      </w:r>
    </w:p>
    <w:p w14:paraId="247A5E74" w14:textId="77777777" w:rsidR="004B3850" w:rsidRDefault="006C3FE8">
      <w:pPr>
        <w:spacing w:after="160"/>
        <w:jc w:val="both"/>
      </w:pPr>
      <w:r>
        <w:t xml:space="preserve">Para múltiples unidades tratadas, considerar el método </w:t>
      </w:r>
      <w:proofErr w:type="spellStart"/>
      <w:r>
        <w:t>Synthetic</w:t>
      </w:r>
      <w:proofErr w:type="spellEnd"/>
      <w:r>
        <w:t xml:space="preserve"> </w:t>
      </w:r>
      <w:proofErr w:type="spellStart"/>
      <w:r>
        <w:t>Difference</w:t>
      </w:r>
      <w:proofErr w:type="spellEnd"/>
      <w:r>
        <w:t>-in-</w:t>
      </w:r>
      <w:proofErr w:type="spellStart"/>
      <w:r>
        <w:t>Differences</w:t>
      </w:r>
      <w:proofErr w:type="spellEnd"/>
      <w:r>
        <w:t xml:space="preserve"> (Arkhangelsky et al., 2021) como especificación alternativa.</w:t>
      </w:r>
    </w:p>
    <w:p w14:paraId="05863EEB" w14:textId="77777777" w:rsidR="004B3850" w:rsidRDefault="006C3FE8">
      <w:pPr>
        <w:pStyle w:val="Ttulo2"/>
      </w:pPr>
      <w:r>
        <w:t>D.6. Tratamiento del panel y del sesgo de abandono</w:t>
      </w:r>
    </w:p>
    <w:p w14:paraId="0A286862" w14:textId="77777777" w:rsidR="004B3850" w:rsidRDefault="006C3FE8">
      <w:pPr>
        <w:spacing w:after="160"/>
        <w:jc w:val="both"/>
      </w:pPr>
      <w:r>
        <w:t>Trabajar con el panel no equilibrado. Documentar cuántas empresas tienen observaciones en todos los años y cuántas solo en parte. Comparar las características pretratamiento de las empresas que permanecen con las que abandonan. Si la diferencia es estadísticamente significativa, corregir mediante ponderación por la inversa de la probabilidad de permanencia (IPW) o imputación múltiple. Presentar resultados con y sin corrección.</w:t>
      </w:r>
    </w:p>
    <w:p w14:paraId="4B39351E" w14:textId="77777777" w:rsidR="004B3850" w:rsidRDefault="006C3FE8">
      <w:pPr>
        <w:spacing w:after="160"/>
        <w:jc w:val="both"/>
      </w:pPr>
      <w:r>
        <w:t>Definir el punto de corte pre/post tratamiento a nivel de empresa individual (fecha de resolución de la ayuda y fecha de inicio de ejecución), no como una fecha única para todo el programa.</w:t>
      </w:r>
    </w:p>
    <w:p w14:paraId="6CB79E9B" w14:textId="77777777" w:rsidR="004B3850" w:rsidRDefault="004B3850">
      <w:pPr>
        <w:spacing w:after="120"/>
      </w:pPr>
    </w:p>
    <w:p w14:paraId="5B4C90ED" w14:textId="77777777" w:rsidR="004B3850" w:rsidRDefault="006C3FE8">
      <w:pPr>
        <w:spacing w:before="400"/>
        <w:jc w:val="center"/>
      </w:pPr>
      <w:r>
        <w:rPr>
          <w:i/>
          <w:iCs/>
          <w:color w:val="888888"/>
          <w:sz w:val="18"/>
          <w:szCs w:val="18"/>
        </w:rPr>
        <w:t>— Fin del documento —</w:t>
      </w:r>
    </w:p>
    <w:sectPr w:rsidR="004B3850">
      <w:pgSz w:w="11906" w:h="16838"/>
      <w:pgMar w:top="1260" w:right="1200" w:bottom="126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A68B7"/>
    <w:multiLevelType w:val="hybridMultilevel"/>
    <w:tmpl w:val="A6DE06A8"/>
    <w:lvl w:ilvl="0" w:tplc="B23C4D9E">
      <w:start w:val="1"/>
      <w:numFmt w:val="bullet"/>
      <w:lvlText w:val="●"/>
      <w:lvlJc w:val="left"/>
      <w:pPr>
        <w:ind w:left="720" w:hanging="360"/>
      </w:pPr>
    </w:lvl>
    <w:lvl w:ilvl="1" w:tplc="074648B2">
      <w:start w:val="1"/>
      <w:numFmt w:val="bullet"/>
      <w:lvlText w:val="○"/>
      <w:lvlJc w:val="left"/>
      <w:pPr>
        <w:ind w:left="1440" w:hanging="360"/>
      </w:pPr>
    </w:lvl>
    <w:lvl w:ilvl="2" w:tplc="2C201800">
      <w:start w:val="1"/>
      <w:numFmt w:val="bullet"/>
      <w:lvlText w:val="■"/>
      <w:lvlJc w:val="left"/>
      <w:pPr>
        <w:ind w:left="2160" w:hanging="360"/>
      </w:pPr>
    </w:lvl>
    <w:lvl w:ilvl="3" w:tplc="1FB84384">
      <w:start w:val="1"/>
      <w:numFmt w:val="bullet"/>
      <w:lvlText w:val="●"/>
      <w:lvlJc w:val="left"/>
      <w:pPr>
        <w:ind w:left="2880" w:hanging="360"/>
      </w:pPr>
    </w:lvl>
    <w:lvl w:ilvl="4" w:tplc="9D462E56">
      <w:start w:val="1"/>
      <w:numFmt w:val="bullet"/>
      <w:lvlText w:val="○"/>
      <w:lvlJc w:val="left"/>
      <w:pPr>
        <w:ind w:left="3600" w:hanging="360"/>
      </w:pPr>
    </w:lvl>
    <w:lvl w:ilvl="5" w:tplc="21F87E36">
      <w:start w:val="1"/>
      <w:numFmt w:val="bullet"/>
      <w:lvlText w:val="■"/>
      <w:lvlJc w:val="left"/>
      <w:pPr>
        <w:ind w:left="4320" w:hanging="360"/>
      </w:pPr>
    </w:lvl>
    <w:lvl w:ilvl="6" w:tplc="432E9752">
      <w:start w:val="1"/>
      <w:numFmt w:val="bullet"/>
      <w:lvlText w:val="●"/>
      <w:lvlJc w:val="left"/>
      <w:pPr>
        <w:ind w:left="5040" w:hanging="360"/>
      </w:pPr>
    </w:lvl>
    <w:lvl w:ilvl="7" w:tplc="A57E637C">
      <w:start w:val="1"/>
      <w:numFmt w:val="bullet"/>
      <w:lvlText w:val="●"/>
      <w:lvlJc w:val="left"/>
      <w:pPr>
        <w:ind w:left="5760" w:hanging="360"/>
      </w:pPr>
    </w:lvl>
    <w:lvl w:ilvl="8" w:tplc="E26262F8">
      <w:start w:val="1"/>
      <w:numFmt w:val="bullet"/>
      <w:lvlText w:val="●"/>
      <w:lvlJc w:val="left"/>
      <w:pPr>
        <w:ind w:left="6480" w:hanging="360"/>
      </w:pPr>
    </w:lvl>
  </w:abstractNum>
  <w:abstractNum w:abstractNumId="1" w15:restartNumberingAfterBreak="0">
    <w:nsid w:val="7AC93A07"/>
    <w:multiLevelType w:val="hybridMultilevel"/>
    <w:tmpl w:val="A02672B2"/>
    <w:lvl w:ilvl="0" w:tplc="A1BAC81C">
      <w:start w:val="1"/>
      <w:numFmt w:val="bullet"/>
      <w:lvlText w:val="•"/>
      <w:lvlJc w:val="left"/>
      <w:pPr>
        <w:ind w:left="720" w:hanging="360"/>
      </w:pPr>
    </w:lvl>
    <w:lvl w:ilvl="1" w:tplc="5A0CDC5E">
      <w:numFmt w:val="decimal"/>
      <w:lvlText w:val=""/>
      <w:lvlJc w:val="left"/>
    </w:lvl>
    <w:lvl w:ilvl="2" w:tplc="B628C758">
      <w:numFmt w:val="decimal"/>
      <w:lvlText w:val=""/>
      <w:lvlJc w:val="left"/>
    </w:lvl>
    <w:lvl w:ilvl="3" w:tplc="053C443A">
      <w:numFmt w:val="decimal"/>
      <w:lvlText w:val=""/>
      <w:lvlJc w:val="left"/>
    </w:lvl>
    <w:lvl w:ilvl="4" w:tplc="BB0EAF88">
      <w:numFmt w:val="decimal"/>
      <w:lvlText w:val=""/>
      <w:lvlJc w:val="left"/>
    </w:lvl>
    <w:lvl w:ilvl="5" w:tplc="9CE4670A">
      <w:numFmt w:val="decimal"/>
      <w:lvlText w:val=""/>
      <w:lvlJc w:val="left"/>
    </w:lvl>
    <w:lvl w:ilvl="6" w:tplc="8390CBA2">
      <w:numFmt w:val="decimal"/>
      <w:lvlText w:val=""/>
      <w:lvlJc w:val="left"/>
    </w:lvl>
    <w:lvl w:ilvl="7" w:tplc="92D6BD52">
      <w:numFmt w:val="decimal"/>
      <w:lvlText w:val=""/>
      <w:lvlJc w:val="left"/>
    </w:lvl>
    <w:lvl w:ilvl="8" w:tplc="6E06454E">
      <w:numFmt w:val="decimal"/>
      <w:lvlText w:val=""/>
      <w:lvlJc w:val="left"/>
    </w:lvl>
  </w:abstractNum>
  <w:num w:numId="1" w16cid:durableId="1621063024">
    <w:abstractNumId w:val="0"/>
    <w:lvlOverride w:ilvl="0">
      <w:startOverride w:val="1"/>
    </w:lvlOverride>
  </w:num>
  <w:num w:numId="2" w16cid:durableId="1177698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850"/>
    <w:rsid w:val="004B3850"/>
    <w:rsid w:val="004C1127"/>
    <w:rsid w:val="006C3FE8"/>
    <w:rsid w:val="00AE0E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6219"/>
  <w15:docId w15:val="{61F96A2B-B15A-463A-ACF3-492C86AA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28"/>
      <w:szCs w:val="28"/>
    </w:rPr>
  </w:style>
  <w:style w:type="paragraph" w:styleId="Ttulo2">
    <w:name w:val="heading 2"/>
    <w:uiPriority w:val="9"/>
    <w:unhideWhenUsed/>
    <w:qFormat/>
    <w:pPr>
      <w:spacing w:before="26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6053</Words>
  <Characters>33297</Characters>
  <Application>Microsoft Office Word</Application>
  <DocSecurity>0</DocSecurity>
  <Lines>277</Lines>
  <Paragraphs>78</Paragraphs>
  <ScaleCrop>false</ScaleCrop>
  <Company/>
  <LinksUpToDate>false</LinksUpToDate>
  <CharactersWithSpaces>39272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2026-04-11T10:16:00Z</dcterms:created>
  <dcterms:modified xsi:type="dcterms:W3CDTF">2026-04-11T10:16:00Z</dcterms:modified>
</cp:coreProperties>
</file>