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품질경영시스템 범위 결정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QP-402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품질경영시스템 범위 결정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422fb9f416b3fe8794e760a90c9e6704085270d">
        <w:r>
          <w:rPr>
            <w:rStyle w:val="Hyperlink"/>
          </w:rPr>
          <w:t xml:space="preserve">QMS 범위 결정 프로세스</w:t>
        </w:r>
      </w:hyperlink>
    </w:p>
    <w:p>
      <w:pPr>
        <w:pStyle w:val="Compact"/>
        <w:numPr>
          <w:ilvl w:val="0"/>
          <w:numId w:val="1001"/>
        </w:numPr>
      </w:pPr>
      <w:hyperlink w:anchor="Xc0ce1403369c31ad40fb69b6d06423786fee409">
        <w:r>
          <w:rPr>
            <w:rStyle w:val="Hyperlink"/>
          </w:rPr>
          <w:t xml:space="preserve">QMS 적용 범위 기술서</w:t>
        </w:r>
      </w:hyperlink>
    </w:p>
    <w:p>
      <w:pPr>
        <w:pStyle w:val="Compact"/>
        <w:numPr>
          <w:ilvl w:val="0"/>
          <w:numId w:val="1001"/>
        </w:numPr>
      </w:pPr>
      <w:hyperlink w:anchor="X820377c054592993bacb56b2dd16b7d899425fe">
        <w:r>
          <w:rPr>
            <w:rStyle w:val="Hyperlink"/>
          </w:rPr>
          <w:t xml:space="preserve">적용 제외 관리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a3b9a69d8ecf5894c67c382ea02120c4f2229b7">
        <w:r>
          <w:rPr>
            <w:rStyle w:val="Hyperlink"/>
          </w:rPr>
          <w:t xml:space="preserve">범위 변경 관리</w:t>
        </w:r>
      </w:hyperlink>
    </w:p>
    <w:p>
      <w:pPr>
        <w:pStyle w:val="Compact"/>
        <w:numPr>
          <w:ilvl w:val="0"/>
          <w:numId w:val="1001"/>
        </w:numPr>
      </w:pPr>
      <w:hyperlink w:anchor="X765626d8f0b3b55417c1af3d25b0173e16c7081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8d071eb6dea7aa6b02ede457a75114ef8418783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품질경영시스템(QMS)의 적용 범위를 결정하고, 그 경계와 적용 가능성을 명확히 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4.3 요구사항에 따른 QMS 범위의 체계적 결정</w:t>
      </w:r>
      <w:r>
        <w:t xml:space="preserve"> </w:t>
      </w:r>
      <w:r>
        <w:t xml:space="preserve">- QMS 적용 범위의 경계(Boundary)와 적용 가능성(Applicability) 명확화</w:t>
      </w:r>
      <w:r>
        <w:t xml:space="preserve"> </w:t>
      </w:r>
      <w:r>
        <w:t xml:space="preserve">- 적용 제외(Exclusion) 사유의 정당화 및 문서화</w:t>
      </w:r>
      <w:r>
        <w:t xml:space="preserve"> </w:t>
      </w:r>
      <w:r>
        <w:t xml:space="preserve">- 인증심사 시 명확한 범위 기술서 제공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범위 결정 및 변경에 관한 모든 활동에 적용한다.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(4.3항)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(4.3항)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IAF MD 22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ISO/IEC 17021-1의 적용 — QMS 인증 범위 결정 지침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§4.3 QMS 범위 결정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QP-401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 상황 및 이해관계자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QMS 범위 (Scope)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품질경영시스템이 적용되는 제품/서비스, 프로세스, 사업장, 부서의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가능성 (Applicability)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요구사항이 조직의 QMS에 적용 가능한 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제외 (Exclusion)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조직의 QMS에 적용할 수 없다고 판단하여 범위에서 제외하는 요구사항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 범위 기술서 (Scope Statement)</w:t>
            </w:r>
          </w:p>
        </w:tc>
        <w:tc>
          <w:tcPr/>
          <w:p>
            <w:pPr>
              <w:pStyle w:val="Compact"/>
            </w:pPr>
            <w:r>
              <w:t xml:space="preserve">인증서에 기재되는 QMS 적용 범위의 공식 기술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사업장 (Site)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QMS가 적용되는 물리적 위치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범위 최종 승인; 범위 변경 시 승인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범위 결정 주관; 적용 제외 정당성 검토; 범위 기술서 작성; 인증기관과 범위 조율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부서장</w:t>
            </w:r>
          </w:p>
        </w:tc>
        <w:tc>
          <w:tcPr/>
          <w:p>
            <w:pPr>
              <w:pStyle w:val="Compact"/>
            </w:pPr>
            <w:r>
              <w:t xml:space="preserve">소관 부서의 활동/프로세스 정보 제공; 범위 결정 검토 참여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범위 관련 자료 수집/분석; 문서화 지원; 변경 이력 관리</w:t>
            </w:r>
          </w:p>
        </w:tc>
      </w:tr>
    </w:tbl>
    <w:bookmarkEnd w:id="18"/>
    <w:bookmarkStart w:id="21" w:name="qms-범위-결정-프로세스"/>
    <w:p>
      <w:pPr>
        <w:pStyle w:val="Heading1"/>
      </w:pPr>
      <w:r>
        <w:t xml:space="preserve">6. QMS 범위 결정 프로세스</w:t>
      </w:r>
    </w:p>
    <w:bookmarkStart w:id="19" w:name="범위-결정-입력"/>
    <w:p>
      <w:pPr>
        <w:pStyle w:val="Heading2"/>
      </w:pPr>
      <w:r>
        <w:t xml:space="preserve">6.1 범위 결정 입력</w:t>
      </w:r>
    </w:p>
    <w:p>
      <w:pPr>
        <w:pStyle w:val="FirstParagraph"/>
      </w:pPr>
      <w:r>
        <w:t xml:space="preserve">QMS 범위 결정 시 다음 사항을 고려한다 (AS9100D 4.3):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입력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 외부/내부 이슈</w:t>
            </w:r>
          </w:p>
        </w:tc>
        <w:tc>
          <w:tcPr/>
          <w:p>
            <w:pPr>
              <w:pStyle w:val="Compact"/>
            </w:pPr>
            <w:r>
              <w:t xml:space="preserve">조직 상황 분석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이해관계자 요구사항</w:t>
            </w:r>
          </w:p>
        </w:tc>
        <w:tc>
          <w:tcPr/>
          <w:p>
            <w:pPr>
              <w:pStyle w:val="Compact"/>
            </w:pPr>
            <w:r>
              <w:t xml:space="preserve">고객, 규제당국, 인증기관 등의 요구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제품/서비스</w:t>
            </w:r>
          </w:p>
        </w:tc>
        <w:tc>
          <w:tcPr/>
          <w:p>
            <w:pPr>
              <w:pStyle w:val="Compact"/>
            </w:pPr>
            <w:r>
              <w:t xml:space="preserve">조직이 제공하는 제품 및 서비스</w:t>
            </w:r>
          </w:p>
        </w:tc>
        <w:tc>
          <w:tcPr/>
          <w:p>
            <w:pPr>
              <w:pStyle w:val="Compact"/>
            </w:pPr>
            <w:r>
              <w:t xml:space="preserve">사업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사업장/기능</w:t>
            </w:r>
          </w:p>
        </w:tc>
        <w:tc>
          <w:tcPr/>
          <w:p>
            <w:pPr>
              <w:pStyle w:val="Compact"/>
            </w:pPr>
            <w:r>
              <w:t xml:space="preserve">포함할 물리적 위치 및 조직 기능</w:t>
            </w:r>
          </w:p>
        </w:tc>
        <w:tc>
          <w:tcPr/>
          <w:p>
            <w:pPr>
              <w:pStyle w:val="Compact"/>
            </w:pPr>
            <w:r>
              <w:t xml:space="preserve">조직도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</w:t>
            </w:r>
          </w:p>
        </w:tc>
        <w:tc>
          <w:tcPr/>
          <w:p>
            <w:pPr>
              <w:pStyle w:val="Compact"/>
            </w:pPr>
            <w:r>
              <w:t xml:space="preserve">포함할 핵심/지원/관리 프로세스</w:t>
            </w:r>
          </w:p>
        </w:tc>
        <w:tc>
          <w:tcPr/>
          <w:p>
            <w:pPr>
              <w:pStyle w:val="Compact"/>
            </w:pPr>
            <w:r>
              <w:t xml:space="preserve">QP-403</w:t>
            </w:r>
          </w:p>
        </w:tc>
      </w:tr>
    </w:tbl>
    <w:bookmarkEnd w:id="19"/>
    <w:bookmarkStart w:id="20" w:name="범위-결정-절차"/>
    <w:p>
      <w:pPr>
        <w:pStyle w:val="Heading2"/>
      </w:pPr>
      <w:r>
        <w:t xml:space="preserve">6.2 범위 결정 절차</w:t>
      </w:r>
    </w:p>
    <w:p>
      <w:pPr>
        <w:pStyle w:val="SourceCode"/>
      </w:pPr>
      <w:r>
        <w:rPr>
          <w:rStyle w:val="VerbatimChar"/>
        </w:rPr>
        <w:t xml:space="preserve">① 조직 상황 분석 결과 검토 (QP-401)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② 제품/서비스 유형 식별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③ 사업장 및 조직 기능 식별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④ 해당 프로세스 식별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⑤ AS9100D 요구사항 적용 가능성 검토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⑥ 적용 제외 사항 검토 및 정당화 (8절)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⑦ 범위 기술서 초안 작성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⑧ 경영진 검토 및 승인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⑨ 품질매뉴얼(QM-001) 및 인증 신청서에 반영</w:t>
      </w:r>
    </w:p>
    <w:bookmarkEnd w:id="20"/>
    <w:bookmarkEnd w:id="21"/>
    <w:bookmarkStart w:id="24" w:name="qms-적용-범위-기술서"/>
    <w:p>
      <w:pPr>
        <w:pStyle w:val="Heading1"/>
      </w:pPr>
      <w:r>
        <w:t xml:space="preserve">7. QMS 적용 범위 기술서</w:t>
      </w:r>
    </w:p>
    <w:bookmarkStart w:id="22" w:name="범위-기술서-내용"/>
    <w:p>
      <w:pPr>
        <w:pStyle w:val="Heading2"/>
      </w:pPr>
      <w:r>
        <w:t xml:space="preserve">7.1 범위 기술서 내용</w:t>
      </w:r>
    </w:p>
    <w:p>
      <w:pPr>
        <w:pStyle w:val="FirstParagraph"/>
      </w:pPr>
      <w:r>
        <w:t xml:space="preserve">QMS 범위 기술서에는 다음 사항을 명확히 기술한다: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조직명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M&amp;C Electronics VINA Co., Ltd. / M&amp;C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Rev D (ISO 9001:2015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베트남 _________ (주소)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제품/서비스</w:t>
            </w:r>
          </w:p>
        </w:tc>
        <w:tc>
          <w:tcPr/>
          <w:p>
            <w:pPr>
              <w:pStyle w:val="Compact"/>
            </w:pPr>
            <w:r>
              <w:t xml:space="preserve">항공우주용 전자 부품 및 어셈블리의 설계, 제조, 검사 및 납품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프로세스</w:t>
            </w:r>
          </w:p>
        </w:tc>
        <w:tc>
          <w:tcPr/>
          <w:p>
            <w:pPr>
              <w:pStyle w:val="Compact"/>
            </w:pPr>
            <w:r>
              <w:t xml:space="preserve">영업/계약검토, 설계/개발, 구매, 생산, 검사/시험, 납품, 인도 후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부서</w:t>
            </w:r>
          </w:p>
        </w:tc>
        <w:tc>
          <w:tcPr/>
          <w:p>
            <w:pPr>
              <w:pStyle w:val="Compact"/>
            </w:pPr>
            <w:r>
              <w:t xml:space="preserve">경영/품질/기술/생산/구매/영업 전 부서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제외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사항 기재 (8절 참조)</w:t>
            </w:r>
          </w:p>
        </w:tc>
      </w:tr>
    </w:tbl>
    <w:bookmarkEnd w:id="22"/>
    <w:bookmarkStart w:id="23" w:name="인증서-범위-문구-예시"/>
    <w:p>
      <w:pPr>
        <w:pStyle w:val="Heading2"/>
      </w:pPr>
      <w:r>
        <w:t xml:space="preserve">7.2 인증서 범위 문구 (예시)</w:t>
      </w:r>
    </w:p>
    <w:p>
      <w:pPr>
        <w:pStyle w:val="BlockText"/>
      </w:pPr>
      <w:r>
        <w:rPr>
          <w:b/>
          <w:bCs/>
        </w:rPr>
        <w:t xml:space="preserve">“항공우주용 전자 부품 및 어셈블리의 설계, 제조, 검사 및 납품”</w:t>
      </w:r>
      <w:r>
        <w:t xml:space="preserve"> </w:t>
      </w:r>
      <w:r>
        <w:t xml:space="preserve">(Design, manufacture, inspection, and delivery of electronic components and assemblies for aerospace applications)</w:t>
      </w:r>
    </w:p>
    <w:p>
      <w:pPr>
        <w:pStyle w:val="FirstParagraph"/>
      </w:pPr>
      <w:r>
        <w:rPr>
          <w:i/>
          <w:iCs/>
        </w:rPr>
        <w:t xml:space="preserve">최종 문구는 인증기관과 협의하여 확정한다.</w:t>
      </w:r>
    </w:p>
    <w:bookmarkEnd w:id="23"/>
    <w:bookmarkEnd w:id="24"/>
    <w:bookmarkStart w:id="28" w:name="적용-제외-관리"/>
    <w:p>
      <w:pPr>
        <w:pStyle w:val="Heading1"/>
      </w:pPr>
      <w:r>
        <w:t xml:space="preserve">8. 적용 제외 관리</w:t>
      </w:r>
    </w:p>
    <w:bookmarkStart w:id="25" w:name="적용-제외-원칙"/>
    <w:p>
      <w:pPr>
        <w:pStyle w:val="Heading2"/>
      </w:pPr>
      <w:r>
        <w:t xml:space="preserve">8.1 적용 제외 원칙</w:t>
      </w:r>
    </w:p>
    <w:p>
      <w:pPr>
        <w:pStyle w:val="FirstParagraph"/>
      </w:pPr>
      <w:r>
        <w:t xml:space="preserve">AS9100D 4.3에 따라:</w:t>
      </w:r>
      <w:r>
        <w:t xml:space="preserve"> </w:t>
      </w:r>
      <w:r>
        <w:t xml:space="preserve">- 조직은</w:t>
      </w:r>
      <w:r>
        <w:t xml:space="preserve"> </w:t>
      </w:r>
      <w:r>
        <w:rPr>
          <w:b/>
          <w:bCs/>
        </w:rPr>
        <w:t xml:space="preserve">적용할 수 없는 요구사항이 있는 경우에만</w:t>
      </w:r>
      <w:r>
        <w:t xml:space="preserve"> </w:t>
      </w:r>
      <w:r>
        <w:t xml:space="preserve">적용 제외를 결정할 수 있다</w:t>
      </w:r>
      <w:r>
        <w:t xml:space="preserve"> </w:t>
      </w:r>
      <w:r>
        <w:t xml:space="preserve">- 적용 제외가 적합한 제품/서비스의 적합성 보장 능력 또는 책임에 영향을 미쳐서는 안 된다</w:t>
      </w:r>
      <w:r>
        <w:t xml:space="preserve"> </w:t>
      </w:r>
      <w:r>
        <w:t xml:space="preserve">- 적용 제외 사유는</w:t>
      </w:r>
      <w:r>
        <w:t xml:space="preserve"> </w:t>
      </w:r>
      <w:r>
        <w:rPr>
          <w:b/>
          <w:bCs/>
        </w:rPr>
        <w:t xml:space="preserve">정당화(justification)</w:t>
      </w:r>
      <w:r>
        <w:t xml:space="preserve">되어야 하며 문서화해야 한다</w:t>
      </w:r>
    </w:p>
    <w:bookmarkEnd w:id="25"/>
    <w:bookmarkStart w:id="26" w:name="적용-제외-검토"/>
    <w:p>
      <w:pPr>
        <w:pStyle w:val="Heading2"/>
      </w:pPr>
      <w:r>
        <w:t xml:space="preserve">8.2 적용 제외 검토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94"/>
        <w:gridCol w:w="3499"/>
        <w:gridCol w:w="202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AS9100D 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제외 가능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정당화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4~7 (조직상황, 리더십, 기획, 지원)</w:t>
            </w:r>
          </w:p>
        </w:tc>
        <w:tc>
          <w:tcPr/>
          <w:p>
            <w:pPr>
              <w:pStyle w:val="Compact"/>
            </w:pPr>
            <w:r>
              <w:t xml:space="preserve">제외 불가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모든 조직에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 설계/개발</w:t>
            </w:r>
          </w:p>
        </w:tc>
        <w:tc>
          <w:tcPr/>
          <w:p>
            <w:pPr>
              <w:pStyle w:val="Compact"/>
            </w:pPr>
            <w:r>
              <w:t xml:space="preserve">조건부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활동을 수행하지 않는 경우에만 가능. 단, 고객 사양의 해석/전환도 설계에 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8.5.1.2 생산공정 검증</w:t>
            </w:r>
          </w:p>
        </w:tc>
        <w:tc>
          <w:tcPr/>
          <w:p>
            <w:pPr>
              <w:pStyle w:val="Compact"/>
            </w:pPr>
            <w:r>
              <w:t xml:space="preserve">제외 불가</w:t>
            </w:r>
          </w:p>
        </w:tc>
        <w:tc>
          <w:tcPr/>
          <w:p>
            <w:pPr>
              <w:pStyle w:val="Compact"/>
            </w:pPr>
            <w:r>
              <w:t xml:space="preserve">항공우주 필수 (FAI)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8.5.3 고객 소유물</w:t>
            </w:r>
          </w:p>
        </w:tc>
        <w:tc>
          <w:tcPr/>
          <w:p>
            <w:pPr>
              <w:pStyle w:val="Compact"/>
            </w:pPr>
            <w:r>
              <w:t xml:space="preserve">조건부 가능</w:t>
            </w:r>
          </w:p>
        </w:tc>
        <w:tc>
          <w:tcPr/>
          <w:p>
            <w:pPr>
              <w:pStyle w:val="Compact"/>
            </w:pPr>
            <w:r>
              <w:t xml:space="preserve">고객 제공 자재/장비/지적재산이 전혀 없는 경우에만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8.5.5 인도 후 활동</w:t>
            </w:r>
          </w:p>
        </w:tc>
        <w:tc>
          <w:tcPr/>
          <w:p>
            <w:pPr>
              <w:pStyle w:val="Compact"/>
            </w:pPr>
            <w:r>
              <w:t xml:space="preserve">조건부 가능</w:t>
            </w:r>
          </w:p>
        </w:tc>
        <w:tc>
          <w:tcPr/>
          <w:p>
            <w:pPr>
              <w:pStyle w:val="Compact"/>
            </w:pPr>
            <w:r>
              <w:t xml:space="preserve">계약상 인도 후 의무가 전혀 없는 경우에만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9~10 (성과평가, 개선)</w:t>
            </w:r>
          </w:p>
        </w:tc>
        <w:tc>
          <w:tcPr/>
          <w:p>
            <w:pPr>
              <w:pStyle w:val="Compact"/>
            </w:pPr>
            <w:r>
              <w:t xml:space="preserve">제외 불가</w:t>
            </w:r>
          </w:p>
        </w:tc>
        <w:tc>
          <w:tcPr/>
          <w:p>
            <w:pPr>
              <w:pStyle w:val="Compact"/>
            </w:pPr>
            <w:r>
              <w:t xml:space="preserve">모든 조직에 적용</w:t>
            </w:r>
          </w:p>
        </w:tc>
      </w:tr>
    </w:tbl>
    <w:p>
      <w:pPr>
        <w:pStyle w:val="BlockText"/>
      </w:pPr>
      <w:r>
        <w:rPr>
          <w:b/>
          <w:bCs/>
        </w:rPr>
        <w:t xml:space="preserve">중요</w:t>
      </w:r>
      <w:r>
        <w:t xml:space="preserve">: AS9100D에서는 ISO 9001보다 적용 제외가 매우 제한적이다. 항공우주 고유 요구사항(8.1.2~8.1.5, 8.4, 8.5.1.2 등)은 사실상 제외가 불가능하다.</w:t>
      </w:r>
    </w:p>
    <w:bookmarkEnd w:id="26"/>
    <w:bookmarkStart w:id="27" w:name="적용-제외-문서화"/>
    <w:p>
      <w:pPr>
        <w:pStyle w:val="Heading2"/>
      </w:pPr>
      <w:r>
        <w:t xml:space="preserve">8.3 적용 제외 문서화</w:t>
      </w:r>
    </w:p>
    <w:p>
      <w:pPr>
        <w:pStyle w:val="FirstParagraph"/>
      </w:pPr>
      <w:r>
        <w:t xml:space="preserve">적용 제외를 결정한 경우 다음을 문서화한다: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제외 조항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조항 번호 및 제목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정당화 사유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조직의 제품/서비스/프로세스 특성에 기반한 구체적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평가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제외가 제품 적합성에 미치는 영향 없음을 확인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대표이사 승인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 위치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QM-001 §4.3 및 본 절차서</w:t>
            </w:r>
          </w:p>
        </w:tc>
      </w:tr>
    </w:tbl>
    <w:bookmarkEnd w:id="27"/>
    <w:bookmarkEnd w:id="28"/>
    <w:bookmarkStart w:id="31" w:name="항공우주-특수-요구사항"/>
    <w:p>
      <w:pPr>
        <w:pStyle w:val="Heading1"/>
      </w:pPr>
      <w:r>
        <w:t xml:space="preserve">9. 항공우주 특수 요구사항</w:t>
      </w:r>
    </w:p>
    <w:bookmarkStart w:id="29" w:name="oasis-등록-범위"/>
    <w:p>
      <w:pPr>
        <w:pStyle w:val="Heading2"/>
      </w:pPr>
      <w:r>
        <w:t xml:space="preserve">9.1 OASIS 등록 범위</w:t>
      </w:r>
    </w:p>
    <w:p>
      <w:pPr>
        <w:pStyle w:val="FirstParagraph"/>
      </w:pPr>
      <w:r>
        <w:t xml:space="preserve">AS9100D 인증 시 IAQG OASIS 데이터베이스에 다음 정보를 등록한다: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등록 정보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조직명/사업장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공식 법인명, 사업장 주소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범위 기술서 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규격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 Rev D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인증기관</w:t>
            </w:r>
          </w:p>
        </w:tc>
        <w:tc>
          <w:tcPr/>
          <w:p>
            <w:pPr>
              <w:pStyle w:val="Compact"/>
            </w:pPr>
            <w:r>
              <w:t xml:space="preserve">CB명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유효기간</w:t>
            </w:r>
          </w:p>
        </w:tc>
        <w:tc>
          <w:tcPr/>
          <w:p>
            <w:pPr>
              <w:pStyle w:val="Compact"/>
            </w:pPr>
            <w:r>
              <w:t xml:space="preserve">인증일~만료일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EA/IAF 코드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산업 분류 코드</w:t>
            </w:r>
          </w:p>
        </w:tc>
      </w:tr>
    </w:tbl>
    <w:bookmarkEnd w:id="29"/>
    <w:bookmarkStart w:id="30" w:name="고객-요구-범위"/>
    <w:p>
      <w:pPr>
        <w:pStyle w:val="Heading2"/>
      </w:pPr>
      <w:r>
        <w:t xml:space="preserve">9.2 고객 요구 범위</w:t>
      </w:r>
    </w:p>
    <w:p>
      <w:pPr>
        <w:pStyle w:val="FirstParagraph"/>
      </w:pPr>
      <w:r>
        <w:t xml:space="preserve">일부 항공우주 고객은 공급자에게 특정 프로세스 또는 제품군을 인증 범위에 포함하도록 요구할 수 있다:</w:t>
      </w:r>
    </w:p>
    <w:p>
      <w:pPr>
        <w:pStyle w:val="Compact"/>
        <w:numPr>
          <w:ilvl w:val="0"/>
          <w:numId w:val="1002"/>
        </w:numPr>
      </w:pPr>
      <w:r>
        <w:t xml:space="preserve">고객 계약 시 인증 범위 요구사항 확인</w:t>
      </w:r>
    </w:p>
    <w:p>
      <w:pPr>
        <w:pStyle w:val="Compact"/>
        <w:numPr>
          <w:ilvl w:val="0"/>
          <w:numId w:val="1002"/>
        </w:numPr>
      </w:pPr>
      <w:r>
        <w:t xml:space="preserve">범위 미포함 프로세스가 고객 요구 대상인 경우 범위 확대 검토</w:t>
      </w:r>
    </w:p>
    <w:p>
      <w:pPr>
        <w:pStyle w:val="Compact"/>
        <w:numPr>
          <w:ilvl w:val="0"/>
          <w:numId w:val="1002"/>
        </w:numPr>
      </w:pPr>
      <w:r>
        <w:t xml:space="preserve">범위 변경 시 인증기관과 사전 협의</w:t>
      </w:r>
    </w:p>
    <w:bookmarkEnd w:id="30"/>
    <w:bookmarkEnd w:id="31"/>
    <w:bookmarkStart w:id="34" w:name="범위-변경-관리"/>
    <w:p>
      <w:pPr>
        <w:pStyle w:val="Heading1"/>
      </w:pPr>
      <w:r>
        <w:t xml:space="preserve">10. 범위 변경 관리</w:t>
      </w:r>
    </w:p>
    <w:bookmarkStart w:id="32" w:name="변경-트리거"/>
    <w:p>
      <w:pPr>
        <w:pStyle w:val="Heading2"/>
      </w:pPr>
      <w:r>
        <w:t xml:space="preserve">10.1 변경 트리거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사유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제품/서비스 추가·삭제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제품군 진입, 기존 제품 단종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사업장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이전, 증축, 신규 사업장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변경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설계 활동 시작/종료, 외주 전환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</w:t>
            </w:r>
          </w:p>
        </w:tc>
        <w:tc>
          <w:tcPr/>
          <w:p>
            <w:pPr>
              <w:pStyle w:val="Compact"/>
            </w:pPr>
            <w:r>
              <w:t xml:space="preserve">인증 범위 확대 요구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 구조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합병, 분사, 부서 재편</w:t>
            </w:r>
          </w:p>
        </w:tc>
      </w:tr>
    </w:tbl>
    <w:bookmarkEnd w:id="32"/>
    <w:bookmarkStart w:id="33" w:name="변경-절차"/>
    <w:p>
      <w:pPr>
        <w:pStyle w:val="Heading2"/>
      </w:pPr>
      <w:r>
        <w:t xml:space="preserve">10.2 변경 절차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범위 변경 필요성 식별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부서장/QMR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변경 영향 평가 (QMS, 인증, 고객 계약)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범위 기술서 개정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대표이사 승인</w:t>
            </w:r>
          </w:p>
        </w:tc>
        <w:tc>
          <w:tcPr/>
          <w:p>
            <w:pPr>
              <w:pStyle w:val="Compact"/>
            </w:pPr>
            <w:r>
              <w:t xml:space="preserve">대표이사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인증기관 통보 및 협의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QM-001 개정 반영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OASIS 등록 정보 갱신 (인증기관 수행)</w:t>
            </w:r>
          </w:p>
        </w:tc>
        <w:tc>
          <w:tcPr/>
          <w:p>
            <w:pPr>
              <w:pStyle w:val="Compact"/>
            </w:pPr>
            <w:r>
              <w:t xml:space="preserve">인증기관</w:t>
            </w:r>
          </w:p>
        </w:tc>
      </w:tr>
    </w:tbl>
    <w:bookmarkEnd w:id="33"/>
    <w:bookmarkEnd w:id="34"/>
    <w:bookmarkStart w:id="35" w:name="기록-관리"/>
    <w:p>
      <w:pPr>
        <w:pStyle w:val="Heading1"/>
      </w:pPr>
      <w:r>
        <w:t xml:space="preserve">11.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범위 기술서</w:t>
            </w:r>
          </w:p>
        </w:tc>
        <w:tc>
          <w:tcPr/>
          <w:p>
            <w:pPr>
              <w:pStyle w:val="Compact"/>
            </w:pPr>
            <w:r>
              <w:t xml:space="preserve">QMS 유지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QM-001 포함, 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제외 정당화 기록</w:t>
            </w:r>
          </w:p>
        </w:tc>
        <w:tc>
          <w:tcPr/>
          <w:p>
            <w:pPr>
              <w:pStyle w:val="Compact"/>
            </w:pPr>
            <w:r>
              <w:t xml:space="preserve">QMS 유지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 변경 검토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인증기관 범위 관련 서신</w:t>
            </w:r>
          </w:p>
        </w:tc>
        <w:tc>
          <w:tcPr/>
          <w:p>
            <w:pPr>
              <w:pStyle w:val="Compact"/>
            </w:pPr>
            <w:r>
              <w:t xml:space="preserve">인증 유효 기간 + 3년</w:t>
            </w:r>
          </w:p>
        </w:tc>
        <w:tc>
          <w:tcPr/>
          <w:p>
            <w:pPr>
              <w:pStyle w:val="Compact"/>
            </w:pPr>
            <w:r>
              <w:t xml:space="preserve">품질팀 관리</w:t>
            </w:r>
          </w:p>
        </w:tc>
      </w:tr>
    </w:tbl>
    <w:bookmarkEnd w:id="35"/>
    <w:bookmarkStart w:id="38" w:name="관련-문서-및-양식"/>
    <w:p>
      <w:pPr>
        <w:pStyle w:val="Heading1"/>
      </w:pPr>
      <w:r>
        <w:t xml:space="preserve">12. 관련 문서 및 양식</w:t>
      </w:r>
    </w:p>
    <w:bookmarkStart w:id="36" w:name="관련-절차서"/>
    <w:p>
      <w:pPr>
        <w:pStyle w:val="Heading2"/>
      </w:pPr>
      <w:r>
        <w:t xml:space="preserve">12.1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(§4.3), 범위 기술서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QP-401</w:t>
            </w:r>
          </w:p>
        </w:tc>
        <w:tc>
          <w:tcPr/>
          <w:p>
            <w:pPr>
              <w:pStyle w:val="Compact"/>
            </w:pPr>
            <w:r>
              <w:t xml:space="preserve">조직 상황/이해관계자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범위 결정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QP-403</w:t>
            </w:r>
          </w:p>
        </w:tc>
        <w:tc>
          <w:tcPr/>
          <w:p>
            <w:pPr>
              <w:pStyle w:val="Compact"/>
            </w:pPr>
            <w:r>
              <w:t xml:space="preserve">프로세스 접근법/QMS 기획</w:t>
            </w:r>
          </w:p>
        </w:tc>
        <w:tc>
          <w:tcPr/>
          <w:p>
            <w:pPr>
              <w:pStyle w:val="Compact"/>
            </w:pPr>
            <w:r>
              <w:t xml:space="preserve">범위 내 프로세스 식별</w:t>
            </w:r>
          </w:p>
        </w:tc>
      </w:tr>
    </w:tbl>
    <w:bookmarkEnd w:id="36"/>
    <w:bookmarkStart w:id="37" w:name="관련-양식"/>
    <w:p>
      <w:pPr>
        <w:pStyle w:val="Heading2"/>
      </w:pPr>
      <w:r>
        <w:t xml:space="preserve">12.2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F-402-01</w:t>
            </w:r>
          </w:p>
        </w:tc>
        <w:tc>
          <w:tcPr/>
          <w:p>
            <w:pPr>
              <w:pStyle w:val="Compact"/>
            </w:pPr>
            <w:r>
              <w:t xml:space="preserve">QMS 범위 결정 검토서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범위 결정/변경 시 입력사항 검토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F-402-02</w:t>
            </w:r>
          </w:p>
        </w:tc>
        <w:tc>
          <w:tcPr/>
          <w:p>
            <w:pPr>
              <w:pStyle w:val="Compact"/>
            </w:pPr>
            <w:r>
              <w:t xml:space="preserve">적용 제외 정당화 기록서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제외 조항 및 정당화 사유 기록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QP-402 Rev. 0</w:t>
      </w:r>
    </w:p>
    <w:bookmarkEnd w:id="37"/>
    <w:bookmarkEnd w:id="38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품질경영시스템 범위 결정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품질경영시스템 범위 결정 절차서</w:t>
    </w:r>
    <w:r>
      <w:tab/>
    </w:r>
    <w:r>
      <w:rPr>
        <w:sz w:val="18"/>
      </w:rPr>
      <w:t>QP-402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범위 결정 절차서</dc:title>
  <dc:creator/>
  <cp:keywords/>
  <dcterms:created xsi:type="dcterms:W3CDTF">2026-04-10T08:21:03Z</dcterms:created>
  <dcterms:modified xsi:type="dcterms:W3CDTF">2026-04-10T08:21:03Z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QP-402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