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제품 및 서비스 안전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QP-804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제품 및 서비스 안전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완전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1ce11635008d912c61fcc602c4cb5b354cdd2de">
        <w:r>
          <w:rPr>
            <w:rStyle w:val="Hyperlink"/>
          </w:rPr>
          <w:t xml:space="preserve">제품 안전 관리 체계</w:t>
        </w:r>
      </w:hyperlink>
    </w:p>
    <w:p>
      <w:pPr>
        <w:pStyle w:val="Compact"/>
        <w:numPr>
          <w:ilvl w:val="0"/>
          <w:numId w:val="1001"/>
        </w:numPr>
      </w:pPr>
      <w:hyperlink w:anchor="Xbd5898d9f4a31ff975fa208950adb39fd43eba1">
        <w:r>
          <w:rPr>
            <w:rStyle w:val="Hyperlink"/>
          </w:rPr>
          <w:t xml:space="preserve">안전 요구사항 식별 및 관리</w:t>
        </w:r>
      </w:hyperlink>
    </w:p>
    <w:p>
      <w:pPr>
        <w:pStyle w:val="Compact"/>
        <w:numPr>
          <w:ilvl w:val="0"/>
          <w:numId w:val="1001"/>
        </w:numPr>
      </w:pPr>
      <w:hyperlink w:anchor="Xfdd58e490638b69453c09826854a20e0d64418b">
        <w:r>
          <w:rPr>
            <w:rStyle w:val="Hyperlink"/>
          </w:rPr>
          <w:t xml:space="preserve">안전 리스크 평가</w:t>
        </w:r>
      </w:hyperlink>
    </w:p>
    <w:p>
      <w:pPr>
        <w:pStyle w:val="Compact"/>
        <w:numPr>
          <w:ilvl w:val="0"/>
          <w:numId w:val="1001"/>
        </w:numPr>
      </w:pPr>
      <w:hyperlink w:anchor="X5934614dd560c890248c4b252ce6157c8efddbb">
        <w:r>
          <w:rPr>
            <w:rStyle w:val="Hyperlink"/>
          </w:rPr>
          <w:t xml:space="preserve">안전 관련 부적합 관리</w:t>
        </w:r>
      </w:hyperlink>
    </w:p>
    <w:p>
      <w:pPr>
        <w:pStyle w:val="Compact"/>
        <w:numPr>
          <w:ilvl w:val="0"/>
          <w:numId w:val="1001"/>
        </w:numPr>
      </w:pPr>
      <w:hyperlink w:anchor="X6d2f6f4c6d0512a347ffb99340ed23d9fc193bd">
        <w:r>
          <w:rPr>
            <w:rStyle w:val="Hyperlink"/>
          </w:rPr>
          <w:t xml:space="preserve">안전 보고 및 통보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VINA가 설계, 제조, 납품하는 항공우주 제품 및 서비스의 안전성을 보장하기 위한 체계적 관리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8.1.4 요구사항에 따른 제품/서비스 안전 관리 체계 수립</w:t>
      </w:r>
      <w:r>
        <w:t xml:space="preserve"> </w:t>
      </w:r>
      <w:r>
        <w:t xml:space="preserve">- 제품 안전 요구사항의 체계적 식별, 관리 및 검증</w:t>
      </w:r>
      <w:r>
        <w:t xml:space="preserve"> </w:t>
      </w:r>
      <w:r>
        <w:t xml:space="preserve">- 안전 관련 리스크의 평가 및 완화</w:t>
      </w:r>
      <w:r>
        <w:t xml:space="preserve"> </w:t>
      </w:r>
      <w:r>
        <w:t xml:space="preserve">- 안전 관련 부적합의 적시 보고 체계 확립</w:t>
      </w:r>
      <w:r>
        <w:t xml:space="preserve"> </w:t>
      </w:r>
      <w:r>
        <w:t xml:space="preserve">- CAR-005 (제품 안전 관리 체계 미수립) 시정조치 반영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모든 항공우주 제품 및 서비스의 수명주기 전반에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설계 단계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관련 설계 요구사항 식별, 설계 검증/확인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 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관련 공정 관리, 특수공정, 안전 핵심 특성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단계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안전 관련 자재/부품의 적합성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단계</w:t>
            </w:r>
          </w:p>
        </w:tc>
        <w:tc>
          <w:tcPr/>
          <w:p>
            <w:pPr>
              <w:pStyle w:val="Compact"/>
            </w:pPr>
            <w:r>
              <w:t xml:space="preserve">안전 관련 특성의 검사/시험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납품/사용 단계</w:t>
            </w:r>
          </w:p>
        </w:tc>
        <w:tc>
          <w:tcPr/>
          <w:p>
            <w:pPr>
              <w:pStyle w:val="Compact"/>
            </w:pPr>
            <w:r>
              <w:t xml:space="preserve">안전 관련 정보 제공, 사용 제한 사항 전달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인도 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관련 필드 이슈 모니터링 및 대응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(8.1.4항)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ARP4761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안전성 평가 프로세스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SAE ARP4754A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민간 항공기 시스템 개발 지침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EASA Part 21 / FAR Part 21</w:t>
            </w:r>
          </w:p>
        </w:tc>
        <w:tc>
          <w:tcPr/>
          <w:p>
            <w:pPr>
              <w:pStyle w:val="Compact"/>
            </w:pPr>
            <w:r>
              <w:t xml:space="preserve">항공 제품 인증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§8.1.4 제품 안전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QP-1001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부적합/시정조치 관리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제품 안전 (Product Safety)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제품이 의도된 사용 및 합리적으로 예측 가능한 오용 조건에서 인체 또는 환경에 용인할 수 없는 위험을 초래하지 않는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핵심 항목 (Safety-Critical Item)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고장, 기능 불량, 부재 시 항공기 또는 탑승자의 안전에 직접 영향을 미치는 부품, 어셈블리, 소프트웨어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핵심 특성 (Safety-Critical Characteristic)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안전 핵심 항목의 특성 중 안전 기능에 직접 관련된 치수, 재질, 성능 등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보고 (Safety Reporting)</w:t>
            </w:r>
          </w:p>
        </w:tc>
        <w:tc>
          <w:tcPr/>
          <w:p>
            <w:pPr>
              <w:pStyle w:val="Compact"/>
            </w:pPr>
            <w:r>
              <w:t xml:space="preserve">안전 관련 부적합, 사고, 위험 상황을 고객, 규제당국 등에 통보하는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감항성 (Airworthiness)</w:t>
            </w:r>
          </w:p>
        </w:tc>
        <w:tc>
          <w:tcPr/>
          <w:p>
            <w:pPr>
              <w:pStyle w:val="Compact"/>
            </w:pPr>
            <w:r>
              <w:t xml:space="preserve">항공기 또는 부품이 안전하게 비행/작동할 수 있는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FHA (Functional Hazard Assessment)</w:t>
            </w:r>
          </w:p>
        </w:tc>
        <w:tc>
          <w:tcPr/>
          <w:p>
            <w:pPr>
              <w:pStyle w:val="Compact"/>
            </w:pPr>
            <w:r>
              <w:t xml:space="preserve">기능 위험 평가 — 시스템 기능 고장이 안전에 미치는 영향 분석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안전책임자 (Safety Officer)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안전 관리 체계의 실무 총괄 책임자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안전 최종 책임; 안전 방침 승인; 안전 관련 자원 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관리 체계 실무 총괄; 안전 요구사항 식별 주관; 안전 리스크 평가; 안전 보고 관리; 규제당국/고객 안전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안전 관리 체계의 QMS 통합; 안전 관련 심사/감독; 경영검토 안전 보고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설계 시 안전 요구사항 반영; DFMEA 안전 항목 분석; 안전 핵심 특성 식별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안전 핵심 공정의 관리; 안전 관련 작업표준 준수; 안전 이상 즉시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안전 핵심 특성 검사 관리; 안전 관련 부적합 기록; 안전 데이터 분석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모든 임직원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관련 이상 발견 시 즉시 보고; 안전 절차 준수; 안전 교육 참여</w:t>
            </w:r>
          </w:p>
        </w:tc>
      </w:tr>
    </w:tbl>
    <w:bookmarkEnd w:id="18"/>
    <w:bookmarkStart w:id="21" w:name="제품-안전-관리-체계"/>
    <w:p>
      <w:pPr>
        <w:pStyle w:val="Heading1"/>
      </w:pPr>
      <w:r>
        <w:t xml:space="preserve">6. 제품 안전 관리 체계</w:t>
      </w:r>
    </w:p>
    <w:bookmarkStart w:id="19" w:name="안전-관리-프로세스"/>
    <w:p>
      <w:pPr>
        <w:pStyle w:val="Heading2"/>
      </w:pPr>
      <w:r>
        <w:t xml:space="preserve">6.1 안전 관리 프로세스</w:t>
      </w:r>
    </w:p>
    <w:p>
      <w:pPr>
        <w:pStyle w:val="SourceCode"/>
      </w:pPr>
      <w:r>
        <w:rPr>
          <w:rStyle w:val="VerbatimChar"/>
        </w:rPr>
        <w:t xml:space="preserve">① 안전 요구사항 식별</w:t>
      </w:r>
      <w:r>
        <w:br/>
      </w:r>
      <w:r>
        <w:rPr>
          <w:rStyle w:val="VerbatimChar"/>
        </w:rPr>
        <w:t xml:space="preserve">    │  (고객 사양, 규제, 업계 표준)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안전 핵심 항목/특성 결정</w:t>
      </w:r>
      <w:r>
        <w:br/>
      </w:r>
      <w:r>
        <w:rPr>
          <w:rStyle w:val="VerbatimChar"/>
        </w:rPr>
        <w:t xml:space="preserve">    │  (도면, BOM, 사양서에 표시)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안전 리스크 평가</w:t>
      </w:r>
      <w:r>
        <w:br/>
      </w:r>
      <w:r>
        <w:rPr>
          <w:rStyle w:val="VerbatimChar"/>
        </w:rPr>
        <w:t xml:space="preserve">    │  (DFMEA/PFMEA, FHA)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안전 관리 계획 수립</w:t>
      </w:r>
      <w:r>
        <w:br/>
      </w:r>
      <w:r>
        <w:rPr>
          <w:rStyle w:val="VerbatimChar"/>
        </w:rPr>
        <w:t xml:space="preserve">    │  (공정 관리, 검사 방법, 기록 요건)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안전 관리 실행</w:t>
      </w:r>
      <w:r>
        <w:br/>
      </w:r>
      <w:r>
        <w:rPr>
          <w:rStyle w:val="VerbatimChar"/>
        </w:rPr>
        <w:t xml:space="preserve">    │  (생산, 검사, 시험, 기록)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안전 성과 모니터링</w:t>
      </w:r>
      <w:r>
        <w:br/>
      </w:r>
      <w:r>
        <w:rPr>
          <w:rStyle w:val="VerbatimChar"/>
        </w:rPr>
        <w:t xml:space="preserve">    │  (부적합 추적, 필드 데이터)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⑦ 안전 보고 및 개선</w:t>
      </w:r>
      <w:r>
        <w:br/>
      </w:r>
      <w:r>
        <w:rPr>
          <w:rStyle w:val="VerbatimChar"/>
        </w:rPr>
        <w:t xml:space="preserve">    (규제당국/고객 통보, 시정조치)</w:t>
      </w:r>
    </w:p>
    <w:bookmarkEnd w:id="19"/>
    <w:bookmarkStart w:id="20" w:name="안전-문화"/>
    <w:p>
      <w:pPr>
        <w:pStyle w:val="Heading2"/>
      </w:pPr>
      <w:r>
        <w:t xml:space="preserve">6.2 안전 문화</w:t>
      </w:r>
    </w:p>
    <w:p>
      <w:pPr>
        <w:pStyle w:val="FirstParagraph"/>
      </w:pPr>
      <w:r>
        <w:t xml:space="preserve">조직은 다음을 통해 안전 문화를 조성한다:</w:t>
      </w:r>
      <w:r>
        <w:t xml:space="preserve"> </w:t>
      </w:r>
      <w:r>
        <w:t xml:space="preserve">- 안전 관련 이슈의 자유로운 보고를 장려하는 비처벌(Non-Punitive) 보고 환경</w:t>
      </w:r>
      <w:r>
        <w:t xml:space="preserve"> </w:t>
      </w:r>
      <w:r>
        <w:t xml:space="preserve">- 정기 안전 교육 및 인식 활동</w:t>
      </w:r>
      <w:r>
        <w:t xml:space="preserve"> </w:t>
      </w:r>
      <w:r>
        <w:t xml:space="preserve">- 안전 관련 교훈(Lessons Learned)의 공유</w:t>
      </w:r>
      <w:r>
        <w:t xml:space="preserve"> </w:t>
      </w:r>
      <w:r>
        <w:t xml:space="preserve">- 경영진의 안전 우선 의지 표명</w:t>
      </w:r>
    </w:p>
    <w:bookmarkEnd w:id="20"/>
    <w:bookmarkEnd w:id="21"/>
    <w:bookmarkStart w:id="25" w:name="안전-요구사항-식별-및-관리"/>
    <w:p>
      <w:pPr>
        <w:pStyle w:val="Heading1"/>
      </w:pPr>
      <w:r>
        <w:t xml:space="preserve">7. 안전 요구사항 식별 및 관리</w:t>
      </w:r>
    </w:p>
    <w:bookmarkStart w:id="22" w:name="안전-요구사항-출처"/>
    <w:p>
      <w:pPr>
        <w:pStyle w:val="Heading2"/>
      </w:pPr>
      <w:r>
        <w:t xml:space="preserve">7.1 안전 요구사항 출처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사양/계약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지정한 안전 요구사항, Safety-Critical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EASA/FAA 감항 규정, 형식 인증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업계 표준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SAE ARP4761, ARP4754A, DO-178C(소프트웨어) 등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FMEA, FHA 결과로 도출된 안전 관련 사항</w:t>
            </w:r>
          </w:p>
        </w:tc>
      </w:tr>
    </w:tbl>
    <w:bookmarkEnd w:id="22"/>
    <w:bookmarkStart w:id="23" w:name="안전-핵심-항목-식별"/>
    <w:p>
      <w:pPr>
        <w:pStyle w:val="Heading2"/>
      </w:pPr>
      <w:r>
        <w:t xml:space="preserve">7.2 안전 핵심 항목 식별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Safety-Critical</w:t>
            </w:r>
          </w:p>
        </w:tc>
        <w:tc>
          <w:tcPr/>
          <w:p>
            <w:pPr>
              <w:pStyle w:val="Compact"/>
            </w:pPr>
            <w:r>
              <w:t xml:space="preserve">고장 시 항공기/탑승자 안전에 직접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최고 수준 관리; 100% 검사; 전수 추적성; 고객 승인 필수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Safety-Significant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고장 시 안전 기능에 간접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강화 관리; 검사 강화; 추적성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일반</w:t>
            </w:r>
          </w:p>
        </w:tc>
        <w:tc>
          <w:tcPr/>
          <w:p>
            <w:pPr>
              <w:pStyle w:val="Compact"/>
            </w:pPr>
            <w:r>
              <w:t xml:space="preserve">안전에 직접 영향 없음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표준 관리</w:t>
            </w:r>
          </w:p>
        </w:tc>
      </w:tr>
    </w:tbl>
    <w:bookmarkEnd w:id="23"/>
    <w:bookmarkStart w:id="24" w:name="안전-핵심-특성-관리"/>
    <w:p>
      <w:pPr>
        <w:pStyle w:val="Heading2"/>
      </w:pPr>
      <w:r>
        <w:t xml:space="preserve">7.3 안전 핵심 특성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도면/사양 표시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특성에 역삼각형(▽) 또는</w:t>
            </w:r>
            <w:r>
              <w:t xml:space="preserve"> </w:t>
            </w:r>
            <w:r>
              <w:t xml:space="preserve">“SC”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공정에 대한 SPC 관리 또는 100%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방법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적합한 측정 불확도를 가진 검사 방법 사용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안전 핵심 특성 검사 결과의 개별 기록 유지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추적성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로트/배치 단위의 완전한 추적성 확보</w:t>
            </w:r>
          </w:p>
        </w:tc>
      </w:tr>
    </w:tbl>
    <w:bookmarkEnd w:id="24"/>
    <w:bookmarkEnd w:id="25"/>
    <w:bookmarkStart w:id="28" w:name="안전-리스크-평가"/>
    <w:p>
      <w:pPr>
        <w:pStyle w:val="Heading1"/>
      </w:pPr>
      <w:r>
        <w:t xml:space="preserve">8. 안전 리스크 평가</w:t>
      </w:r>
    </w:p>
    <w:bookmarkStart w:id="26" w:name="안전-리스크-평가-방법"/>
    <w:p>
      <w:pPr>
        <w:pStyle w:val="Heading2"/>
      </w:pPr>
      <w:r>
        <w:t xml:space="preserve">8.1 안전 리스크 평가 방법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FHA (기능 위험 평가)</w:t>
            </w:r>
          </w:p>
        </w:tc>
        <w:tc>
          <w:tcPr/>
          <w:p>
            <w:pPr>
              <w:pStyle w:val="Compact"/>
            </w:pPr>
            <w:r>
              <w:t xml:space="preserve">시스템/제품 수준의 안전 위험 식별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DFMEA (안전 항목)</w:t>
            </w:r>
          </w:p>
        </w:tc>
        <w:tc>
          <w:tcPr/>
          <w:p>
            <w:pPr>
              <w:pStyle w:val="Compact"/>
            </w:pPr>
            <w:r>
              <w:t xml:space="preserve">설계 고장모드 중 S≥9 항목</w:t>
            </w:r>
          </w:p>
        </w:tc>
        <w:tc>
          <w:tcPr/>
          <w:p>
            <w:pPr>
              <w:pStyle w:val="Compact"/>
            </w:pPr>
            <w:r>
              <w:t xml:space="preserve">QP-802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PFMEA (안전 항목)</w:t>
            </w:r>
          </w:p>
        </w:tc>
        <w:tc>
          <w:tcPr/>
          <w:p>
            <w:pPr>
              <w:pStyle w:val="Compact"/>
            </w:pPr>
            <w:r>
              <w:t xml:space="preserve">공정 고장모드 중 S≥9 항목</w:t>
            </w:r>
          </w:p>
        </w:tc>
        <w:tc>
          <w:tcPr/>
          <w:p>
            <w:pPr>
              <w:pStyle w:val="Compact"/>
            </w:pPr>
            <w:r>
              <w:t xml:space="preserve">QP-802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리스크</w:t>
            </w:r>
          </w:p>
        </w:tc>
        <w:tc>
          <w:tcPr/>
          <w:p>
            <w:pPr>
              <w:pStyle w:val="Compact"/>
            </w:pPr>
            <w:r>
              <w:t xml:space="preserve">열처리, 도금, 용접 등</w:t>
            </w:r>
          </w:p>
        </w:tc>
        <w:tc>
          <w:tcPr/>
          <w:p>
            <w:pPr>
              <w:pStyle w:val="Compact"/>
            </w:pPr>
            <w:r>
              <w:t xml:space="preserve">공정 능력 평가</w:t>
            </w:r>
          </w:p>
        </w:tc>
      </w:tr>
    </w:tbl>
    <w:bookmarkEnd w:id="26"/>
    <w:bookmarkStart w:id="27" w:name="안전-리스크-수용-기준"/>
    <w:p>
      <w:pPr>
        <w:pStyle w:val="Heading2"/>
      </w:pPr>
      <w:r>
        <w:t xml:space="preserve">8.2 안전 리스크 수용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치명적 (Catastrophic)</w:t>
            </w:r>
          </w:p>
        </w:tc>
        <w:tc>
          <w:tcPr/>
          <w:p>
            <w:pPr>
              <w:pStyle w:val="Compact"/>
            </w:pPr>
            <w:r>
              <w:t xml:space="preserve">인명 사고, 항공기 손실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수용 불가</w:t>
            </w:r>
            <w:r>
              <w:t xml:space="preserve"> </w:t>
            </w:r>
            <w:r>
              <w:t xml:space="preserve">— 반드시 제거/저감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 (Hazardous)</w:t>
            </w:r>
          </w:p>
        </w:tc>
        <w:tc>
          <w:tcPr/>
          <w:p>
            <w:pPr>
              <w:pStyle w:val="Compact"/>
            </w:pPr>
            <w:r>
              <w:t xml:space="preserve">심각한 부상, 항공기 중대 손상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수용 불가</w:t>
            </w:r>
            <w:r>
              <w:t xml:space="preserve"> </w:t>
            </w:r>
            <w:r>
              <w:t xml:space="preserve">— 반드시 저감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(Major)</w:t>
            </w:r>
          </w:p>
        </w:tc>
        <w:tc>
          <w:tcPr/>
          <w:p>
            <w:pPr>
              <w:pStyle w:val="Compact"/>
            </w:pPr>
            <w:r>
              <w:t xml:space="preserve">경미한 부상, 비상 절차 필요</w:t>
            </w:r>
          </w:p>
        </w:tc>
        <w:tc>
          <w:tcPr/>
          <w:p>
            <w:pPr>
              <w:pStyle w:val="Compact"/>
            </w:pPr>
            <w:r>
              <w:t xml:space="preserve">조건부 수용 — 완화 조치 후 잔여 리스크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경미 (Minor)</w:t>
            </w:r>
          </w:p>
        </w:tc>
        <w:tc>
          <w:tcPr/>
          <w:p>
            <w:pPr>
              <w:pStyle w:val="Compact"/>
            </w:pPr>
            <w:r>
              <w:t xml:space="preserve">불편, 제한 없는 운항 가능</w:t>
            </w:r>
          </w:p>
        </w:tc>
        <w:tc>
          <w:tcPr/>
          <w:p>
            <w:pPr>
              <w:pStyle w:val="Compact"/>
            </w:pPr>
            <w:r>
              <w:t xml:space="preserve">수용 가능 —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무영향 (No Effect)</w:t>
            </w:r>
          </w:p>
        </w:tc>
        <w:tc>
          <w:tcPr/>
          <w:p>
            <w:pPr>
              <w:pStyle w:val="Compact"/>
            </w:pPr>
            <w:r>
              <w:t xml:space="preserve">안전 영향 없음</w:t>
            </w:r>
          </w:p>
        </w:tc>
        <w:tc>
          <w:tcPr/>
          <w:p>
            <w:pPr>
              <w:pStyle w:val="Compact"/>
            </w:pPr>
            <w:r>
              <w:t xml:space="preserve">수용</w:t>
            </w:r>
          </w:p>
        </w:tc>
      </w:tr>
    </w:tbl>
    <w:bookmarkEnd w:id="27"/>
    <w:bookmarkEnd w:id="28"/>
    <w:bookmarkStart w:id="32" w:name="안전-관련-부적합-관리"/>
    <w:p>
      <w:pPr>
        <w:pStyle w:val="Heading1"/>
      </w:pPr>
      <w:r>
        <w:t xml:space="preserve">9. 안전 관련 부적합 관리</w:t>
      </w:r>
    </w:p>
    <w:bookmarkStart w:id="29" w:name="안전-관련-부적합-정의"/>
    <w:p>
      <w:pPr>
        <w:pStyle w:val="Heading2"/>
      </w:pPr>
      <w:r>
        <w:t xml:space="preserve">9.1 안전 관련 부적합 정의</w:t>
      </w:r>
    </w:p>
    <w:p>
      <w:pPr>
        <w:pStyle w:val="FirstParagraph"/>
      </w:pPr>
      <w:r>
        <w:t xml:space="preserve">다음은 안전 관련 부적합으로 분류한다:</w:t>
      </w:r>
      <w:r>
        <w:t xml:space="preserve"> </w:t>
      </w:r>
      <w:r>
        <w:t xml:space="preserve">- 안전 핵심 특성의 규격 불충족</w:t>
      </w:r>
      <w:r>
        <w:t xml:space="preserve"> </w:t>
      </w:r>
      <w:r>
        <w:t xml:space="preserve">- 안전 핵심 항목의 기능 결함</w:t>
      </w:r>
      <w:r>
        <w:t xml:space="preserve"> </w:t>
      </w:r>
      <w:r>
        <w:t xml:space="preserve">- 안전 관련 공정의 절차 미준수</w:t>
      </w:r>
      <w:r>
        <w:t xml:space="preserve"> </w:t>
      </w:r>
      <w:r>
        <w:t xml:space="preserve">- 안전 관련 자재/부품의 부적합 (위조 부품 포함)</w:t>
      </w:r>
      <w:r>
        <w:t xml:space="preserve"> </w:t>
      </w:r>
      <w:r>
        <w:t xml:space="preserve">- 필드에서 발견된 안전 관련 고장/이상</w:t>
      </w:r>
    </w:p>
    <w:bookmarkEnd w:id="29"/>
    <w:bookmarkStart w:id="30" w:name="안전-부적합-처리-절차"/>
    <w:p>
      <w:pPr>
        <w:pStyle w:val="Heading2"/>
      </w:pPr>
      <w:r>
        <w:t xml:space="preserve">9.2 안전 부적합 처리 절차</w:t>
      </w:r>
    </w:p>
    <w:p>
      <w:pPr>
        <w:pStyle w:val="SourceCode"/>
      </w:pPr>
      <w:r>
        <w:rPr>
          <w:rStyle w:val="VerbatimChar"/>
        </w:rPr>
        <w:t xml:space="preserve">안전 관련 부적합 발견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① 즉시 작업 중단 + 제품 격리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안전책임자에게 즉시 보고 (2시간 이내)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영향 범위 파악 (재공품, 재고, 출하품)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봉쇄 조치 실행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고객/규제당국 통보 필요 여부 판단 (10절)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통보 필요 → 24시간 이내 초기 통보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근본 원인 분석 (QP-1001 연계)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⑦ 시정조치 수립/실행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⑧ 유효성 확인 + 안전 리스크 재평가</w:t>
      </w:r>
    </w:p>
    <w:bookmarkEnd w:id="30"/>
    <w:bookmarkStart w:id="31" w:name="안전-부적합-처분"/>
    <w:p>
      <w:pPr>
        <w:pStyle w:val="Heading2"/>
      </w:pPr>
      <w:r>
        <w:t xml:space="preserve">9.3 안전 부적합 처분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 (원래 규격 복원)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절차 승인, 재검사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 승인 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수리가 안전 기능에 영향 없음을 입증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 (Use-as-is)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원칙적 불가</w:t>
            </w:r>
          </w:p>
        </w:tc>
        <w:tc>
          <w:tcPr/>
          <w:p>
            <w:pPr>
              <w:pStyle w:val="Compact"/>
            </w:pPr>
            <w:r>
              <w:t xml:space="preserve">극히 예외적으로 안전 영향 없음을 증명 + 고객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허용 (권장)</w:t>
            </w:r>
          </w:p>
        </w:tc>
        <w:tc>
          <w:tcPr/>
          <w:p>
            <w:pPr>
              <w:pStyle w:val="Compact"/>
            </w:pPr>
            <w:r>
              <w:t xml:space="preserve">안전 핵심 항목은 폐기 처분 우선</w:t>
            </w:r>
          </w:p>
        </w:tc>
      </w:tr>
    </w:tbl>
    <w:bookmarkEnd w:id="31"/>
    <w:bookmarkEnd w:id="32"/>
    <w:bookmarkStart w:id="36" w:name="안전-보고-및-통보"/>
    <w:p>
      <w:pPr>
        <w:pStyle w:val="Heading1"/>
      </w:pPr>
      <w:r>
        <w:t xml:space="preserve">10. 안전 보고 및 통보</w:t>
      </w:r>
    </w:p>
    <w:bookmarkStart w:id="33" w:name="내부-보고"/>
    <w:p>
      <w:pPr>
        <w:pStyle w:val="Heading2"/>
      </w:pPr>
      <w:r>
        <w:t xml:space="preserve">10.1 내부 보고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보고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안전책임자</w:t>
            </w:r>
          </w:p>
        </w:tc>
        <w:tc>
          <w:tcPr/>
          <w:p>
            <w:pPr>
              <w:pStyle w:val="Compact"/>
            </w:pPr>
            <w:r>
              <w:t xml:space="preserve">발견 즉시 (2시간 이내)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구두 + 안전 이슈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안전책임자 판단 후 즉시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이슈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/>
          <w:p>
            <w:pPr>
              <w:pStyle w:val="Compact"/>
            </w:pPr>
            <w:r>
              <w:t xml:space="preserve">중대 안전 이슈 (Catastrophic/Hazardous)</w:t>
            </w:r>
          </w:p>
        </w:tc>
        <w:tc>
          <w:tcPr/>
          <w:p>
            <w:pPr>
              <w:pStyle w:val="Compact"/>
            </w:pPr>
            <w:r>
              <w:t xml:space="preserve">긴급 보고</w:t>
            </w:r>
          </w:p>
        </w:tc>
      </w:tr>
    </w:tbl>
    <w:bookmarkEnd w:id="33"/>
    <w:bookmarkStart w:id="34" w:name="외부-통보"/>
    <w:p>
      <w:pPr>
        <w:pStyle w:val="Heading2"/>
      </w:pPr>
      <w:r>
        <w:t xml:space="preserve">10.2 외부 통보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통보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통보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통보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안전 핵심 항목의 부적합 납품, 안전 관련 설계/공정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발견 즉시 (24시간 이내 초기 통보)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규제당국</w:t>
            </w:r>
          </w:p>
        </w:tc>
        <w:tc>
          <w:tcPr/>
          <w:p>
            <w:pPr>
              <w:pStyle w:val="Compact"/>
            </w:pPr>
            <w:r>
              <w:t xml:space="preserve">감항성에 영향을 미치는 결함, 안전 관련 사고/인시던트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규제당국 요구 기한 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인증기관</w:t>
            </w:r>
          </w:p>
        </w:tc>
        <w:tc>
          <w:tcPr/>
          <w:p>
            <w:pPr>
              <w:pStyle w:val="Compact"/>
            </w:pPr>
            <w:r>
              <w:t xml:space="preserve">인증 범위 내 중대 안전 이슈</w:t>
            </w:r>
          </w:p>
        </w:tc>
        <w:tc>
          <w:tcPr/>
          <w:p>
            <w:pPr>
              <w:pStyle w:val="Compact"/>
            </w:pPr>
            <w:r>
              <w:t xml:space="preserve">발견 후 합리적 기한 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공급자</w:t>
            </w:r>
          </w:p>
        </w:tc>
        <w:tc>
          <w:tcPr/>
          <w:p>
            <w:pPr>
              <w:pStyle w:val="Compact"/>
            </w:pPr>
            <w:r>
              <w:t xml:space="preserve">공급 자재/부품의 안전 관련 부적합</w:t>
            </w:r>
          </w:p>
        </w:tc>
        <w:tc>
          <w:tcPr/>
          <w:p>
            <w:pPr>
              <w:pStyle w:val="Compact"/>
            </w:pPr>
            <w:r>
              <w:t xml:space="preserve">발견 즉시</w:t>
            </w:r>
          </w:p>
        </w:tc>
      </w:tr>
    </w:tbl>
    <w:bookmarkEnd w:id="34"/>
    <w:bookmarkStart w:id="35" w:name="안전-통보-기록"/>
    <w:p>
      <w:pPr>
        <w:pStyle w:val="Heading2"/>
      </w:pPr>
      <w:r>
        <w:t xml:space="preserve">10.3 안전 통보 기록</w:t>
      </w:r>
    </w:p>
    <w:p>
      <w:pPr>
        <w:pStyle w:val="FirstParagraph"/>
      </w:pPr>
      <w:r>
        <w:t xml:space="preserve">모든 안전 관련 외부 통보는 다음을 기록한다:</w:t>
      </w:r>
      <w:r>
        <w:t xml:space="preserve"> </w:t>
      </w:r>
      <w:r>
        <w:t xml:space="preserve">- 통보 일시, 통보 대상, 통보 방법</w:t>
      </w:r>
      <w:r>
        <w:t xml:space="preserve"> </w:t>
      </w:r>
      <w:r>
        <w:t xml:space="preserve">- 통보 내용 (부적합 상세, 영향 범위, 봉쇄 조치)</w:t>
      </w:r>
      <w:r>
        <w:t xml:space="preserve"> </w:t>
      </w:r>
      <w:r>
        <w:t xml:space="preserve">- 상대방 수신 확인</w:t>
      </w:r>
      <w:r>
        <w:t xml:space="preserve"> </w:t>
      </w:r>
      <w:r>
        <w:t xml:space="preserve">- 후속 조치 사항 및 일정</w:t>
      </w:r>
    </w:p>
    <w:bookmarkEnd w:id="35"/>
    <w:bookmarkEnd w:id="36"/>
    <w:bookmarkStart w:id="37" w:name="기록-관리"/>
    <w:p>
      <w:pPr>
        <w:pStyle w:val="Heading1"/>
      </w:pPr>
      <w:r>
        <w:t xml:space="preserve">11.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핵심 항목/특성 목록</w:t>
            </w:r>
          </w:p>
        </w:tc>
        <w:tc>
          <w:tcPr/>
          <w:p>
            <w:pPr>
              <w:pStyle w:val="Compact"/>
            </w:pPr>
            <w:r>
              <w:t xml:space="preserve">제품 수명주기 + 15년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리스크 평가 기록</w:t>
            </w:r>
          </w:p>
        </w:tc>
        <w:tc>
          <w:tcPr/>
          <w:p>
            <w:pPr>
              <w:pStyle w:val="Compact"/>
            </w:pPr>
            <w:r>
              <w:t xml:space="preserve">제품 수명주기 + 15년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검사/시험 기록</w:t>
            </w:r>
          </w:p>
        </w:tc>
        <w:tc>
          <w:tcPr/>
          <w:p>
            <w:pPr>
              <w:pStyle w:val="Compact"/>
            </w:pPr>
            <w:r>
              <w:t xml:space="preserve">제품 수명주기 + 15년</w:t>
            </w:r>
          </w:p>
        </w:tc>
        <w:tc>
          <w:tcPr/>
          <w:p>
            <w:pPr>
              <w:pStyle w:val="Compact"/>
            </w:pPr>
            <w:r>
              <w:t xml:space="preserve">제품별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부적합 보고서</w:t>
            </w:r>
          </w:p>
        </w:tc>
        <w:tc>
          <w:tcPr/>
          <w:p>
            <w:pPr>
              <w:pStyle w:val="Compact"/>
            </w:pPr>
            <w:r>
              <w:t xml:space="preserve">제품 수명주기 + 15년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외부 통보 기록</w:t>
            </w:r>
          </w:p>
        </w:tc>
        <w:tc>
          <w:tcPr/>
          <w:p>
            <w:pPr>
              <w:pStyle w:val="Compact"/>
            </w:pPr>
            <w:r>
              <w:t xml:space="preserve">제품 수명주기 + 15년</w:t>
            </w:r>
          </w:p>
        </w:tc>
        <w:tc>
          <w:tcPr/>
          <w:p>
            <w:pPr>
              <w:pStyle w:val="Compact"/>
            </w:pPr>
            <w:r>
              <w:t xml:space="preserve">별도 파일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교육 기록</w:t>
            </w:r>
          </w:p>
        </w:tc>
        <w:tc>
          <w:tcPr/>
          <w:p>
            <w:pPr>
              <w:pStyle w:val="Compact"/>
            </w:pPr>
            <w:r>
              <w:t xml:space="preserve">재직 기간 + 3년</w:t>
            </w:r>
          </w:p>
        </w:tc>
        <w:tc>
          <w:tcPr/>
          <w:p>
            <w:pPr>
              <w:pStyle w:val="Compact"/>
            </w:pPr>
            <w:r>
              <w:t xml:space="preserve">QP-703 연계</w:t>
            </w:r>
          </w:p>
        </w:tc>
      </w:tr>
    </w:tbl>
    <w:bookmarkEnd w:id="37"/>
    <w:bookmarkStart w:id="40" w:name="관련-문서-및-양식"/>
    <w:p>
      <w:pPr>
        <w:pStyle w:val="Heading1"/>
      </w:pPr>
      <w:r>
        <w:t xml:space="preserve">12. 관련 문서 및 양식</w:t>
      </w:r>
    </w:p>
    <w:bookmarkStart w:id="38" w:name="관련-절차서"/>
    <w:p>
      <w:pPr>
        <w:pStyle w:val="Heading2"/>
      </w:pPr>
      <w:r>
        <w:t xml:space="preserve">12.1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리스크 FMEA 연계 (S≥9)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</w:t>
            </w:r>
          </w:p>
        </w:tc>
        <w:tc>
          <w:tcPr/>
          <w:p>
            <w:pPr>
              <w:pStyle w:val="Compact"/>
            </w:pPr>
            <w:r>
              <w:t xml:space="preserve">안전 요구사항 설계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</w:t>
            </w:r>
          </w:p>
        </w:tc>
        <w:tc>
          <w:tcPr/>
          <w:p>
            <w:pPr>
              <w:pStyle w:val="Compact"/>
            </w:pPr>
            <w:r>
              <w:t xml:space="preserve">안전 부적합 CAR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  <w:tc>
          <w:tcPr/>
          <w:p>
            <w:pPr>
              <w:pStyle w:val="Compact"/>
            </w:pPr>
            <w:r>
              <w:t xml:space="preserve">안전 관련 부적합품 처분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  <w:tc>
          <w:tcPr/>
          <w:p>
            <w:pPr>
              <w:pStyle w:val="Compact"/>
            </w:pPr>
            <w:r>
              <w:t xml:space="preserve">안전 핵심 항목 추적성</w:t>
            </w:r>
          </w:p>
        </w:tc>
      </w:tr>
    </w:tbl>
    <w:bookmarkEnd w:id="38"/>
    <w:bookmarkStart w:id="39" w:name="관련-양식"/>
    <w:p>
      <w:pPr>
        <w:pStyle w:val="Heading2"/>
      </w:pPr>
      <w:r>
        <w:t xml:space="preserve">12.2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F-804-01</w:t>
            </w:r>
          </w:p>
        </w:tc>
        <w:tc>
          <w:tcPr/>
          <w:p>
            <w:pPr>
              <w:pStyle w:val="Compact"/>
            </w:pPr>
            <w:r>
              <w:t xml:space="preserve">안전 핵심 항목/특성 등록부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항목 식별 및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F-804-02</w:t>
            </w:r>
          </w:p>
        </w:tc>
        <w:tc>
          <w:tcPr/>
          <w:p>
            <w:pPr>
              <w:pStyle w:val="Compact"/>
            </w:pPr>
            <w:r>
              <w:t xml:space="preserve">안전 리스크 평가서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리스크 분석 및 완화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F-804-03</w:t>
            </w:r>
          </w:p>
        </w:tc>
        <w:tc>
          <w:tcPr/>
          <w:p>
            <w:pPr>
              <w:pStyle w:val="Compact"/>
            </w:pPr>
            <w:r>
              <w:t xml:space="preserve">안전 이슈 보고서</w:t>
            </w:r>
          </w:p>
        </w:tc>
        <w:tc>
          <w:tcPr/>
          <w:p>
            <w:pPr>
              <w:pStyle w:val="Compact"/>
            </w:pPr>
            <w:r>
              <w:t xml:space="preserve">안전 관련 부적합/이상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F-804-04</w:t>
            </w:r>
          </w:p>
        </w:tc>
        <w:tc>
          <w:tcPr/>
          <w:p>
            <w:pPr>
              <w:pStyle w:val="Compact"/>
            </w:pPr>
            <w:r>
              <w:t xml:space="preserve">안전 외부 통보 기록서</w:t>
            </w:r>
          </w:p>
        </w:tc>
        <w:tc>
          <w:tcPr/>
          <w:p>
            <w:pPr>
              <w:pStyle w:val="Compact"/>
            </w:pPr>
            <w:r>
              <w:t xml:space="preserve">고객/규제당국 통보 기록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QP-804 Rev. 0</w:t>
      </w:r>
    </w:p>
    <w:bookmarkEnd w:id="39"/>
    <w:bookmarkEnd w:id="40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제품 및 서비스 안전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제품 및 서비스 안전 관리 절차서</w:t>
    </w:r>
    <w:r>
      <w:tab/>
    </w:r>
    <w:r>
      <w:rPr>
        <w:sz w:val="18"/>
      </w:rPr>
      <w:t>QP-804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제품 및 서비스 안전 관리 절차서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QP-804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