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부적합 출력 관리 절차서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  <w:spacing w:before="120" w:after="60"/>
      </w:pPr>
      <w:r>
        <w:rPr>
          <w:b/>
          <w:sz w:val="40"/>
          <w:szCs w:val="40"/>
          <w:color w:val="1F4E79"/>
        </w:rPr>
        <w:t>M&amp;C</w:t>
      </w:r>
    </w:p>
    <w:p>
      <w:pPr>
        <w:jc w:val="center"/>
        <w:spacing w:before="40" w:after="280"/>
      </w:pPr>
      <w:r>
        <w:rPr>
          <w:sz w:val="22"/>
          <w:color w:val="595959"/>
        </w:rPr>
        <w:t>AS9100D Rev D 품질경영시스템</w:t>
      </w:r>
    </w:p>
    <w:p>
      <w:pPr>
        <w:pBdr>
          <w:bottom w:val="single" w:sz="8" w:space="1" w:color="1F4E79"/>
        </w:pBdr>
        <w:spacing w:before="0" w:after="280"/>
      </w:pPr>
    </w:p>
    <w:tbl>
      <w:tblPr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200"/>
        <w:gridCol w:w="6588"/>
      </w:tblGrid>
      <w:tr>
        <w:tc>
          <w:tcPr>
            <w:tcW w:w="2200" w:type="dxa"/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b/>
                <w:sz w:val="22"/>
              </w:rPr>
              <w:t>  문서번호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QP-818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문서제목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부적합 출력 관리 절차서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개정번호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Rev. 0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제  정  일</w:t>
            </w:r>
          </w:p>
        </w:tc>
        <w:tc>
          <w:tcPr>
            <w:tcW w:w="6588" w:type="dxa"/>
          </w:tcPr>
          <w:p>
            <w:pPr>
              <w:spacing w:before="80" w:after="80"/>
            </w:pPr>
            <w:r>
              <w:rPr>
                <w:sz w:val="22"/>
              </w:rPr>
              <w:t xml:space="preserve">  2026년 4월 ___일</w:t>
            </w:r>
          </w:p>
        </w:tc>
      </w:tr>
    </w:tbl>
    <w:p>
      <w:pPr>
        <w:spacing w:before="160" w:after="0"/>
      </w:pPr>
    </w:p>
    <w:p>
      <w:pPr>
        <w:spacing w:before="200" w:after="80"/>
      </w:pPr>
      <w:r>
        <w:rPr>
          <w:b/>
          <w:sz w:val="22"/>
          <w:color w:val="1F4E79"/>
        </w:rPr>
        <w:t>■  결재</w:t>
      </w:r>
    </w:p>
    <w:tbl>
      <w:tblPr>
        <w:tblW w:w="8788" w:type="dxa"/>
        <w:tblCellMar>
          <w:left w:w="108" w:type="dxa"/>
          <w:right w:w="108" w:type="dxa"/>
        </w:tblCellMar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00"/>
        <w:gridCol w:w="2800"/>
        <w:gridCol w:w="2000"/>
        <w:gridCol w:w="2488"/>
      </w:tblGrid>
      <w:tr>
        <w:tc>
          <w:tcPr>
            <w:tcW w:w="15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구분</w:t>
            </w:r>
          </w:p>
        </w:tc>
        <w:tc>
          <w:tcPr>
            <w:tcW w:w="28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직위</w:t>
            </w:r>
          </w:p>
        </w:tc>
        <w:tc>
          <w:tcPr>
            <w:tcW w:w="20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성명</w:t>
            </w:r>
          </w:p>
        </w:tc>
        <w:tc>
          <w:tcPr>
            <w:tcW w:w="2488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서명 / 일자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작성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검토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승인 (등인)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</w:tbl>
    <w:p>
      <w:r>
        <w:br w:type="page"/>
      </w:r>
    </w:p>
    <w:bookmarkStart w:id="12" w:name="개정-이력"/>
    <w:p>
      <w:pPr>
        <w:pStyle w:val="Heading2"/>
      </w:pPr>
      <w:r>
        <w:t xml:space="preserve">개정 이력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Rev.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일자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개정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작성자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승인자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2026-04-__</w:t>
            </w:r>
          </w:p>
        </w:tc>
        <w:tc>
          <w:tcPr/>
          <w:p>
            <w:pPr>
              <w:pStyle w:val="Compact"/>
            </w:pPr>
            <w:r>
              <w:t xml:space="preserve">초판 제정 (AS9100D Rev D 기반 신규 작성)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p>
      <w:r>
        <w:br w:type="page"/>
      </w:r>
    </w:p>
    <w:bookmarkEnd w:id="12"/>
    <w:bookmarkStart w:id="13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Xe15ac646b19d5094b808c4b6dbd2fe8eeee3718">
        <w:r>
          <w:rPr>
            <w:rStyle w:val="Hyperlink"/>
          </w:rPr>
          <w:t xml:space="preserve">목적</w:t>
        </w:r>
      </w:hyperlink>
    </w:p>
    <w:p>
      <w:pPr>
        <w:pStyle w:val="Compact"/>
        <w:numPr>
          <w:ilvl w:val="0"/>
          <w:numId w:val="1001"/>
        </w:numPr>
      </w:pPr>
      <w:hyperlink w:anchor="Xf0f69c2e00c6f8fc4f843a45d9365ea9120b903">
        <w:r>
          <w:rPr>
            <w:rStyle w:val="Hyperlink"/>
          </w:rPr>
          <w:t xml:space="preserve">적용 범위</w:t>
        </w:r>
      </w:hyperlink>
    </w:p>
    <w:p>
      <w:pPr>
        <w:pStyle w:val="Compact"/>
        <w:numPr>
          <w:ilvl w:val="0"/>
          <w:numId w:val="1001"/>
        </w:numPr>
      </w:pPr>
      <w:hyperlink w:anchor="Xb7aea529006a389a383b9f69966c21587e9d512">
        <w:r>
          <w:rPr>
            <w:rStyle w:val="Hyperlink"/>
          </w:rPr>
          <w:t xml:space="preserve">참조 문서/규격</w:t>
        </w:r>
      </w:hyperlink>
    </w:p>
    <w:p>
      <w:pPr>
        <w:pStyle w:val="Compact"/>
        <w:numPr>
          <w:ilvl w:val="0"/>
          <w:numId w:val="1001"/>
        </w:numPr>
      </w:pPr>
      <w:hyperlink w:anchor="X3f55aa3392c053298802d1ca284ffc5a4d9d9e1">
        <w:r>
          <w:rPr>
            <w:rStyle w:val="Hyperlink"/>
          </w:rPr>
          <w:t xml:space="preserve">용어 및 정의</w:t>
        </w:r>
      </w:hyperlink>
    </w:p>
    <w:p>
      <w:pPr>
        <w:pStyle w:val="Compact"/>
        <w:numPr>
          <w:ilvl w:val="0"/>
          <w:numId w:val="1001"/>
        </w:numPr>
      </w:pPr>
      <w:hyperlink w:anchor="X08649843f1f9b709009705cda63be89c220adf5">
        <w:r>
          <w:rPr>
            <w:rStyle w:val="Hyperlink"/>
          </w:rPr>
          <w:t xml:space="preserve">책임과 권한</w:t>
        </w:r>
      </w:hyperlink>
    </w:p>
    <w:p>
      <w:pPr>
        <w:pStyle w:val="Compact"/>
        <w:numPr>
          <w:ilvl w:val="0"/>
          <w:numId w:val="1001"/>
        </w:numPr>
      </w:pPr>
      <w:hyperlink w:anchor="Xd91e2b762a99fda7479fc683849595ec2d371fb">
        <w:r>
          <w:rPr>
            <w:rStyle w:val="Hyperlink"/>
          </w:rPr>
          <w:t xml:space="preserve">부적합 출력의 식별 및 격리</w:t>
        </w:r>
      </w:hyperlink>
    </w:p>
    <w:p>
      <w:pPr>
        <w:pStyle w:val="Compact"/>
        <w:numPr>
          <w:ilvl w:val="0"/>
          <w:numId w:val="1001"/>
        </w:numPr>
      </w:pPr>
      <w:hyperlink w:anchor="Xa8244751742e00663a7356fe618e71bf1f83e18">
        <w:r>
          <w:rPr>
            <w:rStyle w:val="Hyperlink"/>
          </w:rPr>
          <w:t xml:space="preserve">부적합 출력의 처분</w:t>
        </w:r>
      </w:hyperlink>
    </w:p>
    <w:p>
      <w:pPr>
        <w:pStyle w:val="Compact"/>
        <w:numPr>
          <w:ilvl w:val="0"/>
          <w:numId w:val="1001"/>
        </w:numPr>
      </w:pPr>
      <w:hyperlink w:anchor="X180f34de48a62b9d520c2b975d6249ba1552674">
        <w:r>
          <w:rPr>
            <w:rStyle w:val="Hyperlink"/>
          </w:rPr>
          <w:t xml:space="preserve">MRB (자재심의위원회)</w:t>
        </w:r>
      </w:hyperlink>
    </w:p>
    <w:p>
      <w:pPr>
        <w:pStyle w:val="Compact"/>
        <w:numPr>
          <w:ilvl w:val="0"/>
          <w:numId w:val="1001"/>
        </w:numPr>
      </w:pPr>
      <w:hyperlink w:anchor="X33f00afd52482b3ba14c12030731ec33973e627">
        <w:r>
          <w:rPr>
            <w:rStyle w:val="Hyperlink"/>
          </w:rPr>
          <w:t xml:space="preserve">항공우주 특수 요구사항</w:t>
        </w:r>
      </w:hyperlink>
    </w:p>
    <w:p>
      <w:pPr>
        <w:pStyle w:val="Compact"/>
        <w:numPr>
          <w:ilvl w:val="0"/>
          <w:numId w:val="1001"/>
        </w:numPr>
      </w:pPr>
      <w:hyperlink w:anchor="X61f939ac54a5e2a51e5260e7c89ad6a43078e9e">
        <w:r>
          <w:rPr>
            <w:rStyle w:val="Hyperlink"/>
          </w:rPr>
          <w:t xml:space="preserve">기록 관리</w:t>
        </w:r>
      </w:hyperlink>
    </w:p>
    <w:p>
      <w:pPr>
        <w:pStyle w:val="Compact"/>
        <w:numPr>
          <w:ilvl w:val="0"/>
          <w:numId w:val="1001"/>
        </w:numPr>
      </w:pPr>
      <w:hyperlink w:anchor="X59266ae113f54c98872663b14ccb539e91581d5">
        <w:r>
          <w:rPr>
            <w:rStyle w:val="Hyperlink"/>
          </w:rPr>
          <w:t xml:space="preserve">관련 문서 및 양식</w:t>
        </w:r>
      </w:hyperlink>
    </w:p>
    <w:p>
      <w:r>
        <w:br w:type="page"/>
      </w:r>
    </w:p>
    <w:bookmarkEnd w:id="13"/>
    <w:bookmarkStart w:id="14" w:name="목적"/>
    <w:p>
      <w:pPr>
        <w:pStyle w:val="Heading1"/>
      </w:pPr>
      <w:r>
        <w:t xml:space="preserve">1. 목적</w:t>
      </w:r>
    </w:p>
    <w:p>
      <w:pPr>
        <w:pStyle w:val="FirstParagraph"/>
      </w:pPr>
      <w:r>
        <w:t xml:space="preserve">본 절차서는 M&amp;C Electronics VINA에서 요구사항에 적합하지 않은 출력(제품, 서비스, 중간 산출물)을 식별, 관리하여 의도하지 않은 사용 또는 인도를 방지하기 위한 절차를 규정한다.</w:t>
      </w:r>
    </w:p>
    <w:p>
      <w:pPr>
        <w:pStyle w:val="BodyText"/>
      </w:pPr>
      <w:r>
        <w:t xml:space="preserve">본 절차서의 목적:</w:t>
      </w:r>
      <w:r>
        <w:t xml:space="preserve"> </w:t>
      </w:r>
      <w:r>
        <w:t xml:space="preserve">- AS9100D 8.7 요구사항에 따른 부적합 출력의 체계적 관리</w:t>
      </w:r>
      <w:r>
        <w:t xml:space="preserve"> </w:t>
      </w:r>
      <w:r>
        <w:t xml:space="preserve">- 부적합 제품의 의도하지 않은 사용/인도 방지</w:t>
      </w:r>
      <w:r>
        <w:t xml:space="preserve"> </w:t>
      </w:r>
      <w:r>
        <w:t xml:space="preserve">- 부적합 처분(재작업, 수리, 특채, 폐기)의 체계적 의사결정</w:t>
      </w:r>
      <w:r>
        <w:t xml:space="preserve"> </w:t>
      </w:r>
      <w:r>
        <w:t xml:space="preserve">- MRB(자재심의위원회)를 통한 전문적 처분 결정</w:t>
      </w:r>
    </w:p>
    <w:bookmarkEnd w:id="14"/>
    <w:bookmarkStart w:id="15" w:name="적용-범위"/>
    <w:p>
      <w:pPr>
        <w:pStyle w:val="Heading1"/>
      </w:pPr>
      <w:r>
        <w:t xml:space="preserve">2. 적용 범위</w:t>
      </w:r>
    </w:p>
    <w:p>
      <w:pPr>
        <w:pStyle w:val="FirstParagraph"/>
      </w:pPr>
      <w:r>
        <w:t xml:space="preserve">본 절차서는 M&amp;C Electronics VINA의 QMS 내에서 발생하는 모든 부적합 출력에 적용한다.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구분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적용 대상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원자재/구매품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수입검사에서 부적합 판정된 자재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재공품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공정검사에서 부적합 판정된 반제품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완제품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최종검사에서 부적합 판정된 완제품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출하 후 발견</w:t>
            </w:r>
          </w:p>
        </w:tc>
        <w:tc>
          <w:tcPr/>
          <w:p>
            <w:pPr>
              <w:pStyle w:val="Compact"/>
            </w:pPr>
            <w:r>
              <w:t xml:space="preserve">고객 반품, 필드 불량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외부 공급 서비스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외주 가공/처리 결과가 부적합한 경우</w:t>
            </w:r>
          </w:p>
        </w:tc>
      </w:tr>
    </w:tbl>
    <w:p>
      <w:pPr>
        <w:pStyle w:val="BodyText"/>
      </w:pPr>
      <w:r>
        <w:rPr>
          <w:b/>
          <w:bCs/>
        </w:rPr>
        <w:t xml:space="preserve">참고</w:t>
      </w:r>
      <w:r>
        <w:t xml:space="preserve">: 시스템/프로세스 부적합은 QP-1001 (부적합/시정조치 관리)에서 관리한다. 본 절차서는</w:t>
      </w:r>
      <w:r>
        <w:t xml:space="preserve"> </w:t>
      </w:r>
      <w:r>
        <w:rPr>
          <w:b/>
          <w:bCs/>
        </w:rPr>
        <w:t xml:space="preserve">제품/출력</w:t>
      </w:r>
      <w:r>
        <w:t xml:space="preserve">의 부적합에 집중한다.</w:t>
      </w:r>
    </w:p>
    <w:bookmarkEnd w:id="15"/>
    <w:bookmarkStart w:id="16" w:name="참조-문서규격"/>
    <w:p>
      <w:pPr>
        <w:pStyle w:val="Heading1"/>
      </w:pPr>
      <w:r>
        <w:t xml:space="preserve">3. 참조 문서/규격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문서/규격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AS9100D Rev D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항공우주 품질경영시스템 요구사항 (8.7항)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9001:2015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품질경영시스템 요구사항 (8.7항)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SAE AS6081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위조 전자 부품 방지 (유통업체)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SAE AS6174</w:t>
            </w:r>
          </w:p>
        </w:tc>
        <w:tc>
          <w:tcPr/>
          <w:p>
            <w:pPr>
              <w:pStyle w:val="Compact"/>
            </w:pPr>
            <w:r>
              <w:t xml:space="preserve">위조 부품에 대한 보고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QM-001</w:t>
            </w:r>
          </w:p>
        </w:tc>
        <w:tc>
          <w:tcPr/>
          <w:p>
            <w:pPr>
              <w:pStyle w:val="Compact"/>
            </w:pPr>
            <w:r>
              <w:t xml:space="preserve">품질매뉴얼 §8.7 부적합 출력의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QP-1001</w:t>
            </w:r>
          </w:p>
        </w:tc>
        <w:tc>
          <w:tcPr/>
          <w:p>
            <w:pPr>
              <w:pStyle w:val="Compact"/>
            </w:pPr>
            <w:r>
              <w:t xml:space="preserve">부적합/시정조치 관리 절차서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QP-812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식별 및 추적성 관리 절차서</w:t>
            </w:r>
          </w:p>
        </w:tc>
      </w:tr>
    </w:tbl>
    <w:bookmarkEnd w:id="16"/>
    <w:bookmarkStart w:id="17" w:name="용어-및-정의"/>
    <w:p>
      <w:pPr>
        <w:pStyle w:val="Heading1"/>
      </w:pPr>
      <w:r>
        <w:t xml:space="preserve">4. 용어 및 정의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용어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정의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부적합 출력 (Nonconforming Output)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하나 이상의 요구사항을 충족하지 않는 프로세스의 출력(제품, 서비스, 중간 산출물)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재작업 (Rework)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부적합 제품을 원래 규격/사양에 적합하게 만드는 조치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수리 (Repair)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부적합 제품을 의도된 용도에 사용 가능하게 만드는 조치. 원래 규격과 다를 수 있음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특채 (Use-as-is / Concession)</w:t>
            </w:r>
          </w:p>
        </w:tc>
        <w:tc>
          <w:tcPr/>
          <w:p>
            <w:pPr>
              <w:pStyle w:val="Compact"/>
            </w:pPr>
            <w:r>
              <w:t xml:space="preserve">부적합 제품을 원래 사양을 충족하지 않은 상태로 사용/인도를 허가하는 결정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폐기 (Scrap)</w:t>
            </w:r>
          </w:p>
        </w:tc>
        <w:tc>
          <w:tcPr/>
          <w:p>
            <w:pPr>
              <w:pStyle w:val="Compact"/>
            </w:pPr>
            <w:r>
              <w:t xml:space="preserve">부적합 제품을 사용 불가로 판정하여 폐기하는 처분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등급 변경 (Regrade)</w:t>
            </w:r>
          </w:p>
        </w:tc>
        <w:tc>
          <w:tcPr/>
          <w:p>
            <w:pPr>
              <w:pStyle w:val="Compact"/>
            </w:pPr>
            <w:r>
              <w:t xml:space="preserve">부적합 제품을 원래 용도와 다른 용도로 사용하기 위해 등급을 변경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MRB (Material Review Board)</w:t>
            </w:r>
          </w:p>
        </w:tc>
        <w:tc>
          <w:tcPr/>
          <w:p>
            <w:pPr>
              <w:pStyle w:val="Compact"/>
            </w:pPr>
            <w:r>
              <w:t xml:space="preserve">자재심의위원회 — 부적합 제품의 처분을 결정하는 다기능 위원회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봉쇄 (Containment)</w:t>
            </w:r>
          </w:p>
        </w:tc>
        <w:tc>
          <w:tcPr/>
          <w:p>
            <w:pPr>
              <w:pStyle w:val="Compact"/>
            </w:pPr>
            <w:r>
              <w:t xml:space="preserve">부적합 제품의 확산 방지를 위한 즉각적 격리 조치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특별 특채 (Special Concession)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 승인이 필요한 특채 결정</w:t>
            </w:r>
          </w:p>
        </w:tc>
      </w:tr>
    </w:tbl>
    <w:bookmarkEnd w:id="17"/>
    <w:bookmarkStart w:id="18" w:name="책임과-권한"/>
    <w:p>
      <w:pPr>
        <w:pStyle w:val="Heading1"/>
      </w:pPr>
      <w:r>
        <w:t xml:space="preserve">5. 책임과 권한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역할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책임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품질책임자 (QMR)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부적합 출력 관리 체계 총괄; MRB 의장; 특채/수리 최종 승인; 고객 통보 결정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품질팀장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부적합 접수 및 기록 관리; MRB 소집 지원; 처분 기록 유지; 부적합 데이터 분석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검사원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부적합 발견 시 즉시 보고 및 기록; 부적합 표식 부착; 격리 구역 이동; 재검사 실시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rPr>
                <w:b/>
                <w:bCs/>
              </w:rPr>
              <w:t xml:space="preserve">생산부서장</w:t>
            </w:r>
          </w:p>
        </w:tc>
        <w:tc>
          <w:tcPr/>
          <w:p>
            <w:pPr>
              <w:pStyle w:val="Compact"/>
            </w:pPr>
            <w:r>
              <w:t xml:space="preserve">부적합 제품 발생 보고; 재작업/수리 실행; 작업자 교육; 봉쇄 조치 협조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기술부서장</w:t>
            </w:r>
          </w:p>
        </w:tc>
        <w:tc>
          <w:tcPr/>
          <w:p>
            <w:pPr>
              <w:pStyle w:val="Compact"/>
            </w:pPr>
            <w:r>
              <w:t xml:space="preserve">수리 방법 승인; 기술적 처분 검토; 설계 관련 부적합 원인 분석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rPr>
                <w:b/>
                <w:bCs/>
              </w:rPr>
              <w:t xml:space="preserve">MRB 위원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부적합 처분 결정 참여; 전문 의견 제공</w:t>
            </w:r>
          </w:p>
        </w:tc>
      </w:tr>
    </w:tbl>
    <w:bookmarkEnd w:id="18"/>
    <w:bookmarkStart w:id="22" w:name="부적합-출력의-식별-및-격리"/>
    <w:p>
      <w:pPr>
        <w:pStyle w:val="Heading1"/>
      </w:pPr>
      <w:r>
        <w:t xml:space="preserve">6. 부적합 출력의 식별 및 격리</w:t>
      </w:r>
    </w:p>
    <w:bookmarkStart w:id="19" w:name="부적합-발견-및-보고"/>
    <w:p>
      <w:pPr>
        <w:pStyle w:val="Heading2"/>
      </w:pPr>
      <w:r>
        <w:t xml:space="preserve">6.1 부적합 발견 및 보고</w:t>
      </w:r>
    </w:p>
    <w:p>
      <w:pPr>
        <w:pStyle w:val="SourceCode"/>
      </w:pPr>
      <w:r>
        <w:rPr>
          <w:rStyle w:val="VerbatimChar"/>
        </w:rPr>
        <w:t xml:space="preserve">부적합 출력 발견 (검사/공정/고객)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① 즉시 작업 중단 ──→ 부적합 발생 사실 보고 (구두 + 서면)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② 부적합 표식 ──→ 적색 "부적합" 태그/라벨 부착</w:t>
      </w:r>
      <w:r>
        <w:br/>
      </w:r>
      <w:r>
        <w:rPr>
          <w:rStyle w:val="VerbatimChar"/>
        </w:rPr>
        <w:t xml:space="preserve">    │                (부적합 번호, 발견일, 발견자, 부적합 내용)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③ 격리 ──→ 부적합품 격리 구역(Red Tag Area)으로 이동</w:t>
      </w:r>
      <w:r>
        <w:br/>
      </w:r>
      <w:r>
        <w:rPr>
          <w:rStyle w:val="VerbatimChar"/>
        </w:rPr>
        <w:t xml:space="preserve">    │        물리적으로 양품과 분리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④ 부적합 보고서 작성 ──→ 부적합 내용 상세 기록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⑤ 봉쇄 조치 ──→ 동일 로트/배치 확인</w:t>
      </w:r>
      <w:r>
        <w:br/>
      </w:r>
      <w:r>
        <w:rPr>
          <w:rStyle w:val="VerbatimChar"/>
        </w:rPr>
        <w:t xml:space="preserve">    │               재공품, 재고, 출하품 영향 범위 파악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⑥ 처분 결정 ──→ 7절 참조</w:t>
      </w:r>
    </w:p>
    <w:bookmarkEnd w:id="19"/>
    <w:bookmarkStart w:id="20" w:name="부적합-표식-체계"/>
    <w:p>
      <w:pPr>
        <w:pStyle w:val="Heading2"/>
      </w:pPr>
      <w:r>
        <w:t xml:space="preserve">6.2 부적합 표식 체계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표식 유형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색상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부적합 태그 (Red Tag)</w:t>
            </w:r>
          </w:p>
        </w:tc>
        <w:tc>
          <w:tcPr/>
          <w:p>
            <w:pPr>
              <w:pStyle w:val="Compact"/>
            </w:pPr>
            <w:r>
              <w:t xml:space="preserve">적색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부적합 판정 즉시 부착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판정 보류 태그 (Yellow Tag)</w:t>
            </w:r>
          </w:p>
        </w:tc>
        <w:tc>
          <w:tcPr/>
          <w:p>
            <w:pPr>
              <w:pStyle w:val="Compact"/>
            </w:pPr>
            <w:r>
              <w:t xml:space="preserve">황색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검사 보류 또는 MRB 대기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격리 구역 표시</w:t>
            </w:r>
          </w:p>
        </w:tc>
        <w:tc>
          <w:tcPr/>
          <w:p>
            <w:pPr>
              <w:pStyle w:val="Compact"/>
            </w:pPr>
            <w:r>
              <w:t xml:space="preserve">적색 바닥선/표지판</w:t>
            </w:r>
          </w:p>
        </w:tc>
        <w:tc>
          <w:tcPr/>
          <w:p>
            <w:pPr>
              <w:pStyle w:val="Compact"/>
            </w:pPr>
            <w:r>
              <w:t xml:space="preserve">부적합품 보관 구역 식별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폐기 표식</w:t>
            </w:r>
          </w:p>
        </w:tc>
        <w:tc>
          <w:tcPr/>
          <w:p>
            <w:pPr>
              <w:pStyle w:val="Compact"/>
            </w:pPr>
            <w:r>
              <w:t xml:space="preserve">적색</w:t>
            </w:r>
            <w:r>
              <w:t xml:space="preserve"> </w:t>
            </w:r>
            <w:r>
              <w:t xml:space="preserve">“SCRAP”</w:t>
            </w:r>
          </w:p>
        </w:tc>
        <w:tc>
          <w:tcPr/>
          <w:p>
            <w:pPr>
              <w:pStyle w:val="Compact"/>
            </w:pPr>
            <w:r>
              <w:t xml:space="preserve">폐기 결정 후 부착</w:t>
            </w:r>
          </w:p>
        </w:tc>
      </w:tr>
    </w:tbl>
    <w:bookmarkEnd w:id="20"/>
    <w:bookmarkStart w:id="21" w:name="격리-관리"/>
    <w:p>
      <w:pPr>
        <w:pStyle w:val="Heading2"/>
      </w:pPr>
      <w:r>
        <w:t xml:space="preserve">6.3 격리 관리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기준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격리 구역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생산 구역과 물리적으로 분리된 지정 구역 (Red Tag Area)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접근 관리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권한 있는 인원만 접근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출입 기록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격리 구역 입출고 기록 유지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보관 기간</w:t>
            </w:r>
          </w:p>
        </w:tc>
        <w:tc>
          <w:tcPr/>
          <w:p>
            <w:pPr>
              <w:pStyle w:val="Compact"/>
            </w:pPr>
            <w:r>
              <w:t xml:space="preserve">처분 결정 후 5영업일 이내 이행 (특수 사유 제외)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전자 추적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DMS에 부적합품 상태 등록 및 추적</w:t>
            </w:r>
          </w:p>
        </w:tc>
      </w:tr>
    </w:tbl>
    <w:bookmarkEnd w:id="21"/>
    <w:bookmarkEnd w:id="22"/>
    <w:bookmarkStart w:id="28" w:name="부적합-출력의-처분"/>
    <w:p>
      <w:pPr>
        <w:pStyle w:val="Heading1"/>
      </w:pPr>
      <w:r>
        <w:t xml:space="preserve">7. 부적합 출력의 처분</w:t>
      </w:r>
    </w:p>
    <w:bookmarkStart w:id="23" w:name="처분-유형"/>
    <w:p>
      <w:pPr>
        <w:pStyle w:val="Heading2"/>
      </w:pPr>
      <w:r>
        <w:t xml:space="preserve">7.1 처분 유형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475"/>
        <w:gridCol w:w="1485"/>
        <w:gridCol w:w="2475"/>
        <w:gridCol w:w="1485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처분 유형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정의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승인 권한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재작업 (Rework)</w:t>
            </w:r>
          </w:p>
        </w:tc>
        <w:tc>
          <w:tcPr/>
          <w:p>
            <w:pPr>
              <w:pStyle w:val="Compact"/>
            </w:pPr>
            <w:r>
              <w:t xml:space="preserve">원래 규격에 적합하게 재가공</w:t>
            </w:r>
          </w:p>
        </w:tc>
        <w:tc>
          <w:tcPr/>
          <w:p>
            <w:pPr>
              <w:pStyle w:val="Compact"/>
            </w:pPr>
            <w:r>
              <w:t xml:space="preserve">품질팀장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재작업 후 재검사 필수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수리 (Repair)</w:t>
            </w:r>
          </w:p>
        </w:tc>
        <w:tc>
          <w:tcPr/>
          <w:p>
            <w:pPr>
              <w:pStyle w:val="Compact"/>
            </w:pPr>
            <w:r>
              <w:t xml:space="preserve">의도된 용도에 사용 가능하게 조치 (원래 규격과 다를 수 있음)</w:t>
            </w:r>
          </w:p>
        </w:tc>
        <w:tc>
          <w:tcPr/>
          <w:p>
            <w:pPr>
              <w:pStyle w:val="Compact"/>
            </w:pPr>
            <w:r>
              <w:t xml:space="preserve">QMR + 기술부서장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수리 절차 사전 승인 필요; 항공우주: 고객 승인 필요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특채 (Use-as-is)</w:t>
            </w:r>
          </w:p>
        </w:tc>
        <w:tc>
          <w:tcPr/>
          <w:p>
            <w:pPr>
              <w:pStyle w:val="Compact"/>
            </w:pPr>
            <w:r>
              <w:t xml:space="preserve">부적합 상태로 사용/인도 허가</w:t>
            </w:r>
          </w:p>
        </w:tc>
        <w:tc>
          <w:tcPr/>
          <w:p>
            <w:pPr>
              <w:pStyle w:val="Compact"/>
            </w:pPr>
            <w:r>
              <w:t xml:space="preserve">MRB + 고객 승인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항공우주: 반드시 고객 승인 필요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등급 변경 (Regrade)</w:t>
            </w:r>
          </w:p>
        </w:tc>
        <w:tc>
          <w:tcPr/>
          <w:p>
            <w:pPr>
              <w:pStyle w:val="Compact"/>
            </w:pPr>
            <w:r>
              <w:t xml:space="preserve">다른 용도로 전환 사용</w:t>
            </w:r>
          </w:p>
        </w:tc>
        <w:tc>
          <w:tcPr/>
          <w:p>
            <w:pPr>
              <w:pStyle w:val="Compact"/>
            </w:pPr>
            <w:r>
              <w:t xml:space="preserve">QMR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항공우주 부품에는 제한적 적용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폐기 (Scrap)</w:t>
            </w:r>
          </w:p>
        </w:tc>
        <w:tc>
          <w:tcPr/>
          <w:p>
            <w:pPr>
              <w:pStyle w:val="Compact"/>
            </w:pPr>
            <w:r>
              <w:t xml:space="preserve">사용 불가 → 폐기</w:t>
            </w:r>
          </w:p>
        </w:tc>
        <w:tc>
          <w:tcPr/>
          <w:p>
            <w:pPr>
              <w:pStyle w:val="Compact"/>
            </w:pPr>
            <w:r>
              <w:t xml:space="preserve">품질팀장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물리적 파괴 또는 사용 불가 표식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반품 (Return to Supplier)</w:t>
            </w:r>
          </w:p>
        </w:tc>
        <w:tc>
          <w:tcPr/>
          <w:p>
            <w:pPr>
              <w:pStyle w:val="Compact"/>
            </w:pPr>
            <w:r>
              <w:t xml:space="preserve">공급자에게 반환</w:t>
            </w:r>
          </w:p>
        </w:tc>
        <w:tc>
          <w:tcPr/>
          <w:p>
            <w:pPr>
              <w:pStyle w:val="Compact"/>
            </w:pPr>
            <w:r>
              <w:t xml:space="preserve">구매팀장 + 품질팀장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수입검사 부적합 시</w:t>
            </w:r>
          </w:p>
        </w:tc>
      </w:tr>
    </w:tbl>
    <w:bookmarkEnd w:id="23"/>
    <w:bookmarkStart w:id="24" w:name="처분-결정-프로세스"/>
    <w:p>
      <w:pPr>
        <w:pStyle w:val="Heading2"/>
      </w:pPr>
      <w:r>
        <w:t xml:space="preserve">7.2 처분 결정 프로세스</w:t>
      </w:r>
    </w:p>
    <w:p>
      <w:pPr>
        <w:pStyle w:val="SourceCode"/>
      </w:pPr>
      <w:r>
        <w:rPr>
          <w:rStyle w:val="VerbatimChar"/>
        </w:rPr>
        <w:t xml:space="preserve">부적합 보고서 접수 (품질팀)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┌──────────────────┐</w:t>
      </w:r>
      <w:r>
        <w:br/>
      </w:r>
      <w:r>
        <w:rPr>
          <w:rStyle w:val="VerbatimChar"/>
        </w:rPr>
        <w:t xml:space="preserve">│  부적합 심각도     │</w:t>
      </w:r>
      <w:r>
        <w:br/>
      </w:r>
      <w:r>
        <w:rPr>
          <w:rStyle w:val="VerbatimChar"/>
        </w:rPr>
        <w:t xml:space="preserve">│  평가             │</w:t>
      </w:r>
      <w:r>
        <w:br/>
      </w:r>
      <w:r>
        <w:rPr>
          <w:rStyle w:val="VerbatimChar"/>
        </w:rPr>
        <w:t xml:space="preserve">└──────────────────┘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경미/명확 ──→ 품질팀장 판단으로 처분 결정</w:t>
      </w:r>
      <w:r>
        <w:br/>
      </w:r>
      <w:r>
        <w:rPr>
          <w:rStyle w:val="VerbatimChar"/>
        </w:rPr>
        <w:t xml:space="preserve">    │                 (재작업 또는 폐기)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중대/복잡 ──→ MRB 소집 (8절 참조)</w:t>
      </w:r>
      <w:r>
        <w:br/>
      </w:r>
      <w:r>
        <w:rPr>
          <w:rStyle w:val="VerbatimChar"/>
        </w:rPr>
        <w:t xml:space="preserve">         또는</w:t>
      </w:r>
      <w:r>
        <w:br/>
      </w:r>
      <w:r>
        <w:rPr>
          <w:rStyle w:val="VerbatimChar"/>
        </w:rPr>
        <w:t xml:space="preserve">         수리/특채 ──→ MRB + 고객 승인</w:t>
      </w:r>
    </w:p>
    <w:bookmarkEnd w:id="24"/>
    <w:bookmarkStart w:id="25" w:name="재작업-관리"/>
    <w:p>
      <w:pPr>
        <w:pStyle w:val="Heading2"/>
      </w:pPr>
      <w:r>
        <w:t xml:space="preserve">7.3 재작업 관리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단계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활동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책임자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재작업 가능 여부 기술적 검토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기술부서장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재작업 지시서 발행 (방법, 기준 명시)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재작업 실행</w:t>
            </w:r>
          </w:p>
        </w:tc>
        <w:tc>
          <w:tcPr/>
          <w:p>
            <w:pPr>
              <w:pStyle w:val="Compact"/>
            </w:pPr>
            <w:r>
              <w:t xml:space="preserve">생산부서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재검사 (원래 검사 기준과 동일)</w:t>
            </w:r>
          </w:p>
        </w:tc>
        <w:tc>
          <w:tcPr/>
          <w:p>
            <w:pPr>
              <w:pStyle w:val="Compact"/>
            </w:pPr>
            <w:r>
              <w:t xml:space="preserve">검사원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합격 시 양품으로 복귀; 불합격 시 재처분</w:t>
            </w:r>
          </w:p>
        </w:tc>
        <w:tc>
          <w:tcPr/>
          <w:p>
            <w:pPr>
              <w:pStyle w:val="Compact"/>
            </w:pPr>
            <w:r>
              <w:t xml:space="preserve">품질팀장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재작업 기록 유지</w:t>
            </w:r>
          </w:p>
        </w:tc>
        <w:tc>
          <w:tcPr/>
          <w:p>
            <w:pPr>
              <w:pStyle w:val="Compact"/>
            </w:pPr>
            <w:r>
              <w:t xml:space="preserve">품질팀</w:t>
            </w:r>
          </w:p>
        </w:tc>
      </w:tr>
    </w:tbl>
    <w:bookmarkEnd w:id="25"/>
    <w:bookmarkStart w:id="26" w:name="수리-관리"/>
    <w:p>
      <w:pPr>
        <w:pStyle w:val="Heading2"/>
      </w:pPr>
      <w:r>
        <w:t xml:space="preserve">7.4 수리 관리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단계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활동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책임자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수리 방법 수립 및 문서화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기술부서장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고객 승인 획득 (항공우주 필수)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QMR/영업팀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수리 절차 승인 (MRB)</w:t>
            </w:r>
          </w:p>
        </w:tc>
        <w:tc>
          <w:tcPr/>
          <w:p>
            <w:pPr>
              <w:pStyle w:val="Compact"/>
            </w:pPr>
            <w:r>
              <w:t xml:space="preserve">QMR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수리 실행</w:t>
            </w:r>
          </w:p>
        </w:tc>
        <w:tc>
          <w:tcPr/>
          <w:p>
            <w:pPr>
              <w:pStyle w:val="Compact"/>
            </w:pPr>
            <w:r>
              <w:t xml:space="preserve">생산부서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수리 후 검사 (수리 기준에 따라)</w:t>
            </w:r>
          </w:p>
        </w:tc>
        <w:tc>
          <w:tcPr/>
          <w:p>
            <w:pPr>
              <w:pStyle w:val="Compact"/>
            </w:pPr>
            <w:r>
              <w:t xml:space="preserve">검사원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수리 이력 제품에 영구 기록</w:t>
            </w:r>
          </w:p>
        </w:tc>
        <w:tc>
          <w:tcPr/>
          <w:p>
            <w:pPr>
              <w:pStyle w:val="Compact"/>
            </w:pPr>
            <w:r>
              <w:t xml:space="preserve">품질팀</w:t>
            </w:r>
          </w:p>
        </w:tc>
      </w:tr>
    </w:tbl>
    <w:bookmarkEnd w:id="26"/>
    <w:bookmarkStart w:id="27" w:name="특채-concession-관리"/>
    <w:p>
      <w:pPr>
        <w:pStyle w:val="Heading2"/>
      </w:pPr>
      <w:r>
        <w:t xml:space="preserve">7.5 특채 (Concession) 관리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376"/>
        <w:gridCol w:w="2376"/>
        <w:gridCol w:w="3168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단계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활동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책임자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특채 요청서 작성 (부적합 내용, 사용 근거, 리스크 평가)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기술부서장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MRB 검토 및 내부 승인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MRB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고객 승인 요청 (항공우주 필수)</w:t>
            </w:r>
          </w:p>
        </w:tc>
        <w:tc>
          <w:tcPr/>
          <w:p>
            <w:pPr>
              <w:pStyle w:val="Compact"/>
            </w:pPr>
            <w:r>
              <w:t xml:space="preserve">QMR/영업팀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고객 승인 수령 및 기록</w:t>
            </w:r>
          </w:p>
        </w:tc>
        <w:tc>
          <w:tcPr/>
          <w:p>
            <w:pPr>
              <w:pStyle w:val="Compact"/>
            </w:pPr>
            <w:r>
              <w:t xml:space="preserve">품질팀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특채 조건에 따른 인도/사용</w:t>
            </w:r>
          </w:p>
        </w:tc>
        <w:tc>
          <w:tcPr/>
          <w:p>
            <w:pPr>
              <w:pStyle w:val="Compact"/>
            </w:pPr>
            <w:r>
              <w:t xml:space="preserve">해당 부서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특채 이력 영구 보존</w:t>
            </w:r>
          </w:p>
        </w:tc>
        <w:tc>
          <w:tcPr/>
          <w:p>
            <w:pPr>
              <w:pStyle w:val="Compact"/>
            </w:pPr>
            <w:r>
              <w:t xml:space="preserve">품질팀</w:t>
            </w:r>
          </w:p>
        </w:tc>
      </w:tr>
    </w:tbl>
    <w:p>
      <w:pPr>
        <w:pStyle w:val="BlockText"/>
      </w:pPr>
      <w:r>
        <w:rPr>
          <w:b/>
          <w:bCs/>
        </w:rPr>
        <w:t xml:space="preserve">중요</w:t>
      </w:r>
      <w:r>
        <w:t xml:space="preserve">: AS9100D에서 항공우주 제품의</w:t>
      </w:r>
      <w:r>
        <w:t xml:space="preserve"> </w:t>
      </w:r>
      <w:r>
        <w:rPr>
          <w:b/>
          <w:bCs/>
        </w:rPr>
        <w:t xml:space="preserve">수리(Repair)</w:t>
      </w:r>
      <w:r>
        <w:t xml:space="preserve"> </w:t>
      </w:r>
      <w:r>
        <w:t xml:space="preserve">및</w:t>
      </w:r>
      <w:r>
        <w:t xml:space="preserve"> </w:t>
      </w:r>
      <w:r>
        <w:rPr>
          <w:b/>
          <w:bCs/>
        </w:rPr>
        <w:t xml:space="preserve">특채(Use-as-is)</w:t>
      </w:r>
      <w:r>
        <w:t xml:space="preserve">는 반드시</w:t>
      </w:r>
      <w:r>
        <w:t xml:space="preserve"> </w:t>
      </w:r>
      <w:r>
        <w:rPr>
          <w:b/>
          <w:bCs/>
        </w:rPr>
        <w:t xml:space="preserve">고객 승인</w:t>
      </w:r>
      <w:r>
        <w:t xml:space="preserve">이 필요하다. 고객 승인 없이 수리/특채 처분을 실행해서는 안 된다.</w:t>
      </w:r>
    </w:p>
    <w:bookmarkEnd w:id="27"/>
    <w:bookmarkEnd w:id="28"/>
    <w:bookmarkStart w:id="32" w:name="mrb-자재심의위원회"/>
    <w:p>
      <w:pPr>
        <w:pStyle w:val="Heading1"/>
      </w:pPr>
      <w:r>
        <w:t xml:space="preserve">8. MRB (자재심의위원회)</w:t>
      </w:r>
    </w:p>
    <w:bookmarkStart w:id="29" w:name="mrb-구성"/>
    <w:p>
      <w:pPr>
        <w:pStyle w:val="Heading2"/>
      </w:pPr>
      <w:r>
        <w:t xml:space="preserve">8.1 MRB 구성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구분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역할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의장</w:t>
            </w:r>
            <w:r>
              <w:t xml:space="preserve">: QMR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MRB 회의 주관, 최종 처분 결정 승인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품질팀장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부적합 현황 보고, 기록 관리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기술부서장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기술적 처분 검토, 수리 방법 승인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rPr>
                <w:b/>
                <w:bCs/>
              </w:rPr>
              <w:t xml:space="preserve">생산부서장</w:t>
            </w:r>
          </w:p>
        </w:tc>
        <w:tc>
          <w:tcPr/>
          <w:p>
            <w:pPr>
              <w:pStyle w:val="Compact"/>
            </w:pPr>
            <w:r>
              <w:t xml:space="preserve">생산 영향 평가, 재작업 가능성 검토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구매팀장</w:t>
            </w:r>
            <w:r>
              <w:t xml:space="preserve"> </w:t>
            </w:r>
            <w:r>
              <w:t xml:space="preserve">(해당 시)</w:t>
            </w:r>
          </w:p>
        </w:tc>
        <w:tc>
          <w:tcPr/>
          <w:p>
            <w:pPr>
              <w:pStyle w:val="Compact"/>
            </w:pPr>
            <w:r>
              <w:t xml:space="preserve">공급자 관련 이슈, 자재 대체 가능성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rPr>
                <w:b/>
                <w:bCs/>
              </w:rPr>
              <w:t xml:space="preserve">고객 대표</w:t>
            </w:r>
            <w:r>
              <w:t xml:space="preserve"> </w:t>
            </w:r>
            <w:r>
              <w:t xml:space="preserve">(해당 시)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 요구사항 관련 의견</w:t>
            </w:r>
          </w:p>
        </w:tc>
      </w:tr>
    </w:tbl>
    <w:bookmarkEnd w:id="29"/>
    <w:bookmarkStart w:id="30" w:name="mrb-소집-기준"/>
    <w:p>
      <w:pPr>
        <w:pStyle w:val="Heading2"/>
      </w:pPr>
      <w:r>
        <w:t xml:space="preserve">8.2 MRB 소집 기준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MRB 소집 필요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MRB 불필요 (품질팀장 결정)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수리(Repair) 처분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단순 재작업 (원래 규격 복원)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특채(Use-as-is) 처분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명확한 폐기 대상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반복 부적합 (동일 불량 3회+)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공급자 반품 (명확한 규격 미달)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안전 관련 부적합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고객 사양 관련 부적합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처분 판단이 복잡한 경우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bookmarkEnd w:id="30"/>
    <w:bookmarkStart w:id="31" w:name="mrb-운영"/>
    <w:p>
      <w:pPr>
        <w:pStyle w:val="Heading2"/>
      </w:pPr>
      <w:r>
        <w:t xml:space="preserve">8.3 MRB 운영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활동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소집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QMR이 MRB 소집, 최소 24시간 전 통보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자료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부적합 보고서, 검사 데이터, 도면/사양, 이전 처분 이력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결정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만장일치 원칙; 합의 불가 시 QMR 최종 결정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기록</w:t>
            </w:r>
          </w:p>
        </w:tc>
        <w:tc>
          <w:tcPr/>
          <w:p>
            <w:pPr>
              <w:pStyle w:val="Compact"/>
            </w:pPr>
            <w:r>
              <w:t xml:space="preserve">MRB 회의록 작성 (참석자, 논의 내용, 결정 사항, 근거)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 승인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수리/특채 시 고객 승인 절차 진행</w:t>
            </w:r>
          </w:p>
        </w:tc>
      </w:tr>
    </w:tbl>
    <w:bookmarkEnd w:id="31"/>
    <w:bookmarkEnd w:id="32"/>
    <w:bookmarkStart w:id="37" w:name="항공우주-특수-요구사항"/>
    <w:p>
      <w:pPr>
        <w:pStyle w:val="Heading1"/>
      </w:pPr>
      <w:r>
        <w:t xml:space="preserve">9. 항공우주 특수 요구사항</w:t>
      </w:r>
    </w:p>
    <w:bookmarkStart w:id="33" w:name="처분-시-고객-승인"/>
    <w:p>
      <w:pPr>
        <w:pStyle w:val="Heading2"/>
      </w:pPr>
      <w:r>
        <w:t xml:space="preserve">9.1 처분 시 고객 승인</w:t>
      </w:r>
    </w:p>
    <w:p>
      <w:pPr>
        <w:pStyle w:val="FirstParagraph"/>
      </w:pPr>
      <w:r>
        <w:t xml:space="preserve">AS9100D 8.7.1에 따라 다음 처분에는</w:t>
      </w:r>
      <w:r>
        <w:t xml:space="preserve"> </w:t>
      </w:r>
      <w:r>
        <w:rPr>
          <w:b/>
          <w:bCs/>
        </w:rPr>
        <w:t xml:space="preserve">고객 승인이 필수</w:t>
      </w:r>
      <w:r>
        <w:t xml:space="preserve">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160"/>
        <w:gridCol w:w="3600"/>
        <w:gridCol w:w="216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처분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고객 승인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재작업 (Rework)</w:t>
            </w:r>
          </w:p>
        </w:tc>
        <w:tc>
          <w:tcPr/>
          <w:p>
            <w:pPr>
              <w:pStyle w:val="Compact"/>
            </w:pPr>
            <w:r>
              <w:t xml:space="preserve">계약에 명시된 경우 필요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원래 사양 복원이므로 일반적으로 불필요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수리 (Repair)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필수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수리 방법, 검사 기준에 대해 승인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특채 (Use-as-is)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부적합 내용, 사용 근거에 대해 승인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등급 변경 (Regrade)</w:t>
            </w:r>
          </w:p>
        </w:tc>
        <w:tc>
          <w:tcPr/>
          <w:p>
            <w:pPr>
              <w:pStyle w:val="Compact"/>
            </w:pPr>
            <w:r>
              <w:t xml:space="preserve">필요</w:t>
            </w:r>
          </w:p>
        </w:tc>
        <w:tc>
          <w:tcPr/>
          <w:p>
            <w:pPr>
              <w:pStyle w:val="Compact"/>
            </w:pPr>
            <w:r>
              <w:t xml:space="preserve">용도 변경에 대한 승인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폐기 (Scrap)</w:t>
            </w:r>
          </w:p>
        </w:tc>
        <w:tc>
          <w:tcPr/>
          <w:p>
            <w:pPr>
              <w:pStyle w:val="Compact"/>
            </w:pPr>
            <w:r>
              <w:t xml:space="preserve">불필요</w:t>
            </w:r>
          </w:p>
        </w:tc>
        <w:tc>
          <w:tcPr/>
          <w:p>
            <w:pPr>
              <w:pStyle w:val="Compact"/>
            </w:pPr>
            <w:r>
              <w:t xml:space="preserve">단, 고객에게 통보 필요한 경우 있음</w:t>
            </w:r>
          </w:p>
        </w:tc>
      </w:tr>
    </w:tbl>
    <w:bookmarkEnd w:id="33"/>
    <w:bookmarkStart w:id="34" w:name="위조-부품-관련"/>
    <w:p>
      <w:pPr>
        <w:pStyle w:val="Heading2"/>
      </w:pPr>
      <w:r>
        <w:t xml:space="preserve">9.2 위조 부품 관련</w:t>
      </w:r>
    </w:p>
    <w:p>
      <w:pPr>
        <w:pStyle w:val="FirstParagraph"/>
      </w:pPr>
      <w:r>
        <w:t xml:space="preserve">AS9100D 8.1.5에 따라 위조 부품이 의심되거나 발견된 경우:</w:t>
      </w:r>
    </w:p>
    <w:p>
      <w:pPr>
        <w:pStyle w:val="Compact"/>
        <w:numPr>
          <w:ilvl w:val="0"/>
          <w:numId w:val="1002"/>
        </w:numPr>
      </w:pPr>
      <w:r>
        <w:t xml:space="preserve">해당 부품</w:t>
      </w:r>
      <w:r>
        <w:t xml:space="preserve"> </w:t>
      </w:r>
      <w:r>
        <w:rPr>
          <w:b/>
          <w:bCs/>
        </w:rPr>
        <w:t xml:space="preserve">즉시 격리</w:t>
      </w:r>
      <w:r>
        <w:t xml:space="preserve"> </w:t>
      </w:r>
      <w:r>
        <w:t xml:space="preserve">—</w:t>
      </w:r>
      <w:r>
        <w:t xml:space="preserve"> </w:t>
      </w:r>
      <w:r>
        <w:t xml:space="preserve">“의심 위조품”</w:t>
      </w:r>
      <w:r>
        <w:t xml:space="preserve"> </w:t>
      </w:r>
      <w:r>
        <w:t xml:space="preserve">표식</w:t>
      </w:r>
    </w:p>
    <w:p>
      <w:pPr>
        <w:pStyle w:val="Compact"/>
        <w:numPr>
          <w:ilvl w:val="0"/>
          <w:numId w:val="1002"/>
        </w:numPr>
      </w:pPr>
      <w:r>
        <w:t xml:space="preserve">양품 라인에 절대 투입 금지</w:t>
      </w:r>
    </w:p>
    <w:p>
      <w:pPr>
        <w:pStyle w:val="Compact"/>
        <w:numPr>
          <w:ilvl w:val="0"/>
          <w:numId w:val="1002"/>
        </w:numPr>
      </w:pPr>
      <w:r>
        <w:t xml:space="preserve">사용/수리/재작업/반품</w:t>
      </w:r>
      <w:r>
        <w:t xml:space="preserve"> </w:t>
      </w:r>
      <w:r>
        <w:rPr>
          <w:b/>
          <w:bCs/>
        </w:rPr>
        <w:t xml:space="preserve">일체 금지</w:t>
      </w:r>
      <w:r>
        <w:t xml:space="preserve"> </w:t>
      </w:r>
      <w:r>
        <w:t xml:space="preserve">— 폐기만 허용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24시간 이내</w:t>
      </w:r>
      <w:r>
        <w:t xml:space="preserve"> </w:t>
      </w:r>
      <w:r>
        <w:t xml:space="preserve">QMR에게 보고</w:t>
      </w:r>
    </w:p>
    <w:p>
      <w:pPr>
        <w:pStyle w:val="Compact"/>
        <w:numPr>
          <w:ilvl w:val="0"/>
          <w:numId w:val="1002"/>
        </w:numPr>
      </w:pPr>
      <w:r>
        <w:t xml:space="preserve">고객, 인증기관, 관련 정부기관에 통보</w:t>
      </w:r>
    </w:p>
    <w:p>
      <w:pPr>
        <w:pStyle w:val="Compact"/>
        <w:numPr>
          <w:ilvl w:val="0"/>
          <w:numId w:val="1002"/>
        </w:numPr>
      </w:pPr>
      <w:r>
        <w:t xml:space="preserve">해당 공급자로부터의 모든 납품 이력 조사</w:t>
      </w:r>
    </w:p>
    <w:p>
      <w:pPr>
        <w:pStyle w:val="Compact"/>
        <w:numPr>
          <w:ilvl w:val="0"/>
          <w:numId w:val="1002"/>
        </w:numPr>
      </w:pPr>
      <w:r>
        <w:t xml:space="preserve">관련 기록</w:t>
      </w:r>
      <w:r>
        <w:t xml:space="preserve"> </w:t>
      </w:r>
      <w:r>
        <w:rPr>
          <w:b/>
          <w:bCs/>
        </w:rPr>
        <w:t xml:space="preserve">무기한 보존</w:t>
      </w:r>
    </w:p>
    <w:bookmarkEnd w:id="34"/>
    <w:bookmarkStart w:id="35" w:name="인도-후-발견된-부적합"/>
    <w:p>
      <w:pPr>
        <w:pStyle w:val="Heading2"/>
      </w:pPr>
      <w:r>
        <w:t xml:space="preserve">9.3 인도 후 발견된 부적합</w:t>
      </w:r>
    </w:p>
    <w:p>
      <w:pPr>
        <w:pStyle w:val="FirstParagraph"/>
      </w:pPr>
      <w:r>
        <w:t xml:space="preserve">출하/인도 후에 부적합이 발견된 경우: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조치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즉시 고객 통보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부적합 내용, 영향 범위, 봉쇄 조치 보고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출하 이력 조사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해당 로트/배치의 전체 출하 이력 추적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회수/교환 계획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필요 시 고객과 협의하여 회수 또는 교환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시정조치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QP-1001에 따른 CAR 발행 및 근본 원인 분석</w:t>
            </w:r>
          </w:p>
        </w:tc>
      </w:tr>
    </w:tbl>
    <w:bookmarkEnd w:id="35"/>
    <w:bookmarkStart w:id="36" w:name="재작업수리-후-재검사"/>
    <w:p>
      <w:pPr>
        <w:pStyle w:val="Heading2"/>
      </w:pPr>
      <w:r>
        <w:t xml:space="preserve">9.4 재작업/수리 후 재검사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요구사항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재검사 범위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원래 검사 요구사항과 동일하게 재검사 (최소)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추가 검사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재작업/수리로 영향 받을 수 있는 인접 특성 추가 검사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 관련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FAI 대상 제품의 경우, 재작업/수리 후 FAI 재실시 여부 판단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기록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재검사 결과를 부적합 보고서에 첨부</w:t>
            </w:r>
          </w:p>
        </w:tc>
      </w:tr>
    </w:tbl>
    <w:bookmarkEnd w:id="36"/>
    <w:bookmarkEnd w:id="37"/>
    <w:bookmarkStart w:id="38" w:name="기록-관리"/>
    <w:p>
      <w:pPr>
        <w:pStyle w:val="Heading1"/>
      </w:pPr>
      <w:r>
        <w:t xml:space="preserve">10. 기록 관리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기록 유형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보존 기간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관리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부적합 보고서</w:t>
            </w:r>
          </w:p>
        </w:tc>
        <w:tc>
          <w:tcPr/>
          <w:p>
            <w:pPr>
              <w:pStyle w:val="Compact"/>
            </w:pPr>
            <w:r>
              <w:t xml:space="preserve">5년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DMS 등록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MRB 회의록</w:t>
            </w:r>
          </w:p>
        </w:tc>
        <w:tc>
          <w:tcPr/>
          <w:p>
            <w:pPr>
              <w:pStyle w:val="Compact"/>
            </w:pPr>
            <w:r>
              <w:t xml:space="preserve">5년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DMS 등록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처분 결정 기록 (재작업/수리/특채/폐기)</w:t>
            </w:r>
          </w:p>
        </w:tc>
        <w:tc>
          <w:tcPr/>
          <w:p>
            <w:pPr>
              <w:pStyle w:val="Compact"/>
            </w:pPr>
            <w:r>
              <w:t xml:space="preserve">5년</w:t>
            </w:r>
          </w:p>
        </w:tc>
        <w:tc>
          <w:tcPr/>
          <w:p>
            <w:pPr>
              <w:pStyle w:val="Compact"/>
            </w:pPr>
            <w:r>
              <w:t xml:space="preserve">부적합 보고서에 첨부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승인 기록 (수리/특채)</w:t>
            </w:r>
          </w:p>
        </w:tc>
        <w:tc>
          <w:tcPr/>
          <w:p>
            <w:pPr>
              <w:pStyle w:val="Compact"/>
            </w:pPr>
            <w:r>
              <w:t xml:space="preserve">제품 수명주기 + 10년</w:t>
            </w:r>
          </w:p>
        </w:tc>
        <w:tc>
          <w:tcPr/>
          <w:p>
            <w:pPr>
              <w:pStyle w:val="Compact"/>
            </w:pPr>
            <w:r>
              <w:t xml:space="preserve">별도 파일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재작업/수리 기록</w:t>
            </w:r>
          </w:p>
        </w:tc>
        <w:tc>
          <w:tcPr/>
          <w:p>
            <w:pPr>
              <w:pStyle w:val="Compact"/>
            </w:pPr>
            <w:r>
              <w:t xml:space="preserve">5년</w:t>
            </w:r>
          </w:p>
        </w:tc>
        <w:tc>
          <w:tcPr/>
          <w:p>
            <w:pPr>
              <w:pStyle w:val="Compact"/>
            </w:pPr>
            <w:r>
              <w:t xml:space="preserve">제품 이력에 포함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위조 부품 관련 기록</w:t>
            </w:r>
          </w:p>
        </w:tc>
        <w:tc>
          <w:tcPr/>
          <w:p>
            <w:pPr>
              <w:pStyle w:val="Compact"/>
            </w:pPr>
            <w:r>
              <w:t xml:space="preserve">무기한</w:t>
            </w:r>
          </w:p>
        </w:tc>
        <w:tc>
          <w:tcPr/>
          <w:p>
            <w:pPr>
              <w:pStyle w:val="Compact"/>
            </w:pPr>
            <w:r>
              <w:t xml:space="preserve">별도 보관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폐기 기록</w:t>
            </w:r>
          </w:p>
        </w:tc>
        <w:tc>
          <w:tcPr/>
          <w:p>
            <w:pPr>
              <w:pStyle w:val="Compact"/>
            </w:pPr>
            <w:r>
              <w:t xml:space="preserve">5년</w:t>
            </w:r>
          </w:p>
        </w:tc>
        <w:tc>
          <w:tcPr/>
          <w:p>
            <w:pPr>
              <w:pStyle w:val="Compact"/>
            </w:pPr>
            <w:r>
              <w:t xml:space="preserve">폐기 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부적합품 격리 입출고 기록</w:t>
            </w:r>
          </w:p>
        </w:tc>
        <w:tc>
          <w:tcPr/>
          <w:p>
            <w:pPr>
              <w:pStyle w:val="Compact"/>
            </w:pPr>
            <w:r>
              <w:t xml:space="preserve">3년</w:t>
            </w:r>
          </w:p>
        </w:tc>
        <w:tc>
          <w:tcPr/>
          <w:p>
            <w:pPr>
              <w:pStyle w:val="Compact"/>
            </w:pPr>
            <w:r>
              <w:t xml:space="preserve">품질팀 관리</w:t>
            </w:r>
          </w:p>
        </w:tc>
      </w:tr>
    </w:tbl>
    <w:bookmarkEnd w:id="38"/>
    <w:bookmarkStart w:id="42" w:name="관련-문서-및-양식"/>
    <w:p>
      <w:pPr>
        <w:pStyle w:val="Heading1"/>
      </w:pPr>
      <w:r>
        <w:t xml:space="preserve">11. 관련 문서 및 양식</w:t>
      </w:r>
    </w:p>
    <w:bookmarkStart w:id="39" w:name="관련-절차서"/>
    <w:p>
      <w:pPr>
        <w:pStyle w:val="Heading2"/>
      </w:pPr>
      <w:r>
        <w:t xml:space="preserve">11.1 관련 절차서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연관 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QM-001</w:t>
            </w:r>
          </w:p>
        </w:tc>
        <w:tc>
          <w:tcPr/>
          <w:p>
            <w:pPr>
              <w:pStyle w:val="Compact"/>
            </w:pPr>
            <w:r>
              <w:t xml:space="preserve">품질매뉴얼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상위 문서 (§8.7)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QP-1001</w:t>
            </w:r>
          </w:p>
        </w:tc>
        <w:tc>
          <w:tcPr/>
          <w:p>
            <w:pPr>
              <w:pStyle w:val="Compact"/>
            </w:pPr>
            <w:r>
              <w:t xml:space="preserve">부적합/시정조치 관리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부적합 → CAR 연계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QP-812</w:t>
            </w:r>
          </w:p>
        </w:tc>
        <w:tc>
          <w:tcPr/>
          <w:p>
            <w:pPr>
              <w:pStyle w:val="Compact"/>
            </w:pPr>
            <w:r>
              <w:t xml:space="preserve">식별 및 추적성 관리</w:t>
            </w:r>
          </w:p>
        </w:tc>
        <w:tc>
          <w:tcPr/>
          <w:p>
            <w:pPr>
              <w:pStyle w:val="Compact"/>
            </w:pPr>
            <w:r>
              <w:t xml:space="preserve">부적합품 식별/추적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QP-808</w:t>
            </w:r>
          </w:p>
        </w:tc>
        <w:tc>
          <w:tcPr/>
          <w:p>
            <w:pPr>
              <w:pStyle w:val="Compact"/>
            </w:pPr>
            <w:r>
              <w:t xml:space="preserve">외부공급자 관리</w:t>
            </w:r>
          </w:p>
        </w:tc>
        <w:tc>
          <w:tcPr/>
          <w:p>
            <w:pPr>
              <w:pStyle w:val="Compact"/>
            </w:pPr>
            <w:r>
              <w:t xml:space="preserve">공급자 부적합 반품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QP-804</w:t>
            </w:r>
          </w:p>
        </w:tc>
        <w:tc>
          <w:tcPr/>
          <w:p>
            <w:pPr>
              <w:pStyle w:val="Compact"/>
            </w:pPr>
            <w:r>
              <w:t xml:space="preserve">제품/서비스 안전</w:t>
            </w:r>
          </w:p>
        </w:tc>
        <w:tc>
          <w:tcPr/>
          <w:p>
            <w:pPr>
              <w:pStyle w:val="Compact"/>
            </w:pPr>
            <w:r>
              <w:t xml:space="preserve">안전 관련 부적합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WI-811-01</w:t>
            </w:r>
          </w:p>
        </w:tc>
        <w:tc>
          <w:tcPr/>
          <w:p>
            <w:pPr>
              <w:pStyle w:val="Compact"/>
            </w:pPr>
            <w:r>
              <w:t xml:space="preserve">부적합품 격리/처리 지침서</w:t>
            </w:r>
          </w:p>
        </w:tc>
        <w:tc>
          <w:tcPr/>
          <w:p>
            <w:pPr>
              <w:pStyle w:val="Compact"/>
            </w:pPr>
            <w:r>
              <w:t xml:space="preserve">격리 절차 상세</w:t>
            </w:r>
          </w:p>
        </w:tc>
      </w:tr>
    </w:tbl>
    <w:bookmarkEnd w:id="39"/>
    <w:bookmarkStart w:id="40" w:name="관련-양식"/>
    <w:p>
      <w:pPr>
        <w:pStyle w:val="Heading2"/>
      </w:pPr>
      <w:r>
        <w:t xml:space="preserve">11.2 관련 양식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양식번호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양식명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F-818-01</w:t>
            </w:r>
          </w:p>
        </w:tc>
        <w:tc>
          <w:tcPr/>
          <w:p>
            <w:pPr>
              <w:pStyle w:val="Compact"/>
            </w:pPr>
            <w:r>
              <w:t xml:space="preserve">부적합 보고서 (NCR)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부적합 발견/기록/처분 통합 양식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F-818-02</w:t>
            </w:r>
          </w:p>
        </w:tc>
        <w:tc>
          <w:tcPr/>
          <w:p>
            <w:pPr>
              <w:pStyle w:val="Compact"/>
            </w:pPr>
            <w:r>
              <w:t xml:space="preserve">MRB 회의록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MRB 검토 결과 및 처분 결정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F-818-03</w:t>
            </w:r>
          </w:p>
        </w:tc>
        <w:tc>
          <w:tcPr/>
          <w:p>
            <w:pPr>
              <w:pStyle w:val="Compact"/>
            </w:pPr>
            <w:r>
              <w:t xml:space="preserve">특채 요청서</w:t>
            </w:r>
          </w:p>
        </w:tc>
        <w:tc>
          <w:tcPr/>
          <w:p>
            <w:pPr>
              <w:pStyle w:val="Compact"/>
            </w:pPr>
            <w:r>
              <w:t xml:space="preserve">특채/수리 고객 승인 요청 양식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F-818-04</w:t>
            </w:r>
          </w:p>
        </w:tc>
        <w:tc>
          <w:tcPr/>
          <w:p>
            <w:pPr>
              <w:pStyle w:val="Compact"/>
            </w:pPr>
            <w:r>
              <w:t xml:space="preserve">재작업 지시서</w:t>
            </w:r>
          </w:p>
        </w:tc>
        <w:tc>
          <w:tcPr/>
          <w:p>
            <w:pPr>
              <w:pStyle w:val="Compact"/>
            </w:pPr>
            <w:r>
              <w:t xml:space="preserve">재작업 방법/기준/검사 지시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F-818-05</w:t>
            </w:r>
          </w:p>
        </w:tc>
        <w:tc>
          <w:tcPr/>
          <w:p>
            <w:pPr>
              <w:pStyle w:val="Compact"/>
            </w:pPr>
            <w:r>
              <w:t xml:space="preserve">부적합품 격리 대장</w:t>
            </w:r>
          </w:p>
        </w:tc>
        <w:tc>
          <w:tcPr/>
          <w:p>
            <w:pPr>
              <w:pStyle w:val="Compact"/>
            </w:pPr>
            <w:r>
              <w:t xml:space="preserve">격리 구역 입출고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F-818-06</w:t>
            </w:r>
          </w:p>
        </w:tc>
        <w:tc>
          <w:tcPr/>
          <w:p>
            <w:pPr>
              <w:pStyle w:val="Compact"/>
            </w:pPr>
            <w:r>
              <w:t xml:space="preserve">폐기 처리 기록서</w:t>
            </w:r>
          </w:p>
        </w:tc>
        <w:tc>
          <w:tcPr/>
          <w:p>
            <w:pPr>
              <w:pStyle w:val="Compact"/>
            </w:pPr>
            <w:r>
              <w:t xml:space="preserve">폐기 대상/방법/승인 기록</w:t>
            </w:r>
          </w:p>
        </w:tc>
      </w:tr>
    </w:tbl>
    <w:bookmarkEnd w:id="40"/>
    <w:bookmarkStart w:id="41" w:name="부록-a-부적합-출력-처분-흐름도"/>
    <w:p>
      <w:pPr>
        <w:pStyle w:val="Heading2"/>
      </w:pPr>
      <w:r>
        <w:t xml:space="preserve">부록 A: 부적합 출력 처분 흐름도</w:t>
      </w:r>
    </w:p>
    <w:p>
      <w:pPr>
        <w:pStyle w:val="SourceCode"/>
      </w:pPr>
      <w:r>
        <w:rPr>
          <w:rStyle w:val="VerbatimChar"/>
        </w:rPr>
        <w:t xml:space="preserve">┌──────────────┐</w:t>
      </w:r>
      <w:r>
        <w:br/>
      </w:r>
      <w:r>
        <w:rPr>
          <w:rStyle w:val="VerbatimChar"/>
        </w:rPr>
        <w:t xml:space="preserve">│  부적합 발견  │</w:t>
      </w:r>
      <w:r>
        <w:br/>
      </w:r>
      <w:r>
        <w:rPr>
          <w:rStyle w:val="VerbatimChar"/>
        </w:rPr>
        <w:t xml:space="preserve">│  (검사/공정)  │</w:t>
      </w:r>
      <w:r>
        <w:br/>
      </w:r>
      <w:r>
        <w:rPr>
          <w:rStyle w:val="VerbatimChar"/>
        </w:rPr>
        <w:t xml:space="preserve">└──────────────┘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┌──────────────┐</w:t>
      </w:r>
      <w:r>
        <w:br/>
      </w:r>
      <w:r>
        <w:rPr>
          <w:rStyle w:val="VerbatimChar"/>
        </w:rPr>
        <w:t xml:space="preserve">│  즉시 격리    │──→ 적색 태그 부착</w:t>
      </w:r>
      <w:r>
        <w:br/>
      </w:r>
      <w:r>
        <w:rPr>
          <w:rStyle w:val="VerbatimChar"/>
        </w:rPr>
        <w:t xml:space="preserve">│  + 보고       │    격리 구역 이동</w:t>
      </w:r>
      <w:r>
        <w:br/>
      </w:r>
      <w:r>
        <w:rPr>
          <w:rStyle w:val="VerbatimChar"/>
        </w:rPr>
        <w:t xml:space="preserve">└──────────────┘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┌──────────────┐     ┌──────────────┐</w:t>
      </w:r>
      <w:r>
        <w:br/>
      </w:r>
      <w:r>
        <w:rPr>
          <w:rStyle w:val="VerbatimChar"/>
        </w:rPr>
        <w:t xml:space="preserve">│  봉쇄 조치    │────→│  부적합 보고서│</w:t>
      </w:r>
      <w:r>
        <w:br/>
      </w:r>
      <w:r>
        <w:rPr>
          <w:rStyle w:val="VerbatimChar"/>
        </w:rPr>
        <w:t xml:space="preserve">│  (영향 범위)  │     │  작성         │</w:t>
      </w:r>
      <w:r>
        <w:br/>
      </w:r>
      <w:r>
        <w:rPr>
          <w:rStyle w:val="VerbatimChar"/>
        </w:rPr>
        <w:t xml:space="preserve">└──────────────┘     └──────────────┘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┌──────────────────┐</w:t>
      </w:r>
      <w:r>
        <w:br/>
      </w:r>
      <w:r>
        <w:rPr>
          <w:rStyle w:val="VerbatimChar"/>
        </w:rPr>
        <w:t xml:space="preserve">│  처분 결정 필요    │</w:t>
      </w:r>
      <w:r>
        <w:br/>
      </w:r>
      <w:r>
        <w:rPr>
          <w:rStyle w:val="VerbatimChar"/>
        </w:rPr>
        <w:t xml:space="preserve">└──────────────────┘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 경미/명확 ──→ 품질팀장 결정</w:t>
      </w:r>
      <w:r>
        <w:br/>
      </w:r>
      <w:r>
        <w:rPr>
          <w:rStyle w:val="VerbatimChar"/>
        </w:rPr>
        <w:t xml:space="preserve">       │                  │</w:t>
      </w:r>
      <w:r>
        <w:br/>
      </w:r>
      <w:r>
        <w:rPr>
          <w:rStyle w:val="VerbatimChar"/>
        </w:rPr>
        <w:t xml:space="preserve">       │              ┌───┴───┐</w:t>
      </w:r>
      <w:r>
        <w:br/>
      </w:r>
      <w:r>
        <w:rPr>
          <w:rStyle w:val="VerbatimChar"/>
        </w:rPr>
        <w:t xml:space="preserve">       │              ▼       ▼</w:t>
      </w:r>
      <w:r>
        <w:br/>
      </w:r>
      <w:r>
        <w:rPr>
          <w:rStyle w:val="VerbatimChar"/>
        </w:rPr>
        <w:t xml:space="preserve">       │         재작업     폐기</w:t>
      </w:r>
      <w:r>
        <w:br/>
      </w:r>
      <w:r>
        <w:rPr>
          <w:rStyle w:val="VerbatimChar"/>
        </w:rPr>
        <w:t xml:space="preserve">       │              │       │</w:t>
      </w:r>
      <w:r>
        <w:br/>
      </w:r>
      <w:r>
        <w:rPr>
          <w:rStyle w:val="VerbatimChar"/>
        </w:rPr>
        <w:t xml:space="preserve">       │              ▼       ▼</w:t>
      </w:r>
      <w:r>
        <w:br/>
      </w:r>
      <w:r>
        <w:rPr>
          <w:rStyle w:val="VerbatimChar"/>
        </w:rPr>
        <w:t xml:space="preserve">       │         재검사    폐기기록</w:t>
      </w:r>
      <w:r>
        <w:br/>
      </w:r>
      <w:r>
        <w:rPr>
          <w:rStyle w:val="VerbatimChar"/>
        </w:rPr>
        <w:t xml:space="preserve">       │              │</w:t>
      </w:r>
      <w:r>
        <w:br/>
      </w:r>
      <w:r>
        <w:rPr>
          <w:rStyle w:val="VerbatimChar"/>
        </w:rPr>
        <w:t xml:space="preserve">       │              ▼</w:t>
      </w:r>
      <w:r>
        <w:br/>
      </w:r>
      <w:r>
        <w:rPr>
          <w:rStyle w:val="VerbatimChar"/>
        </w:rPr>
        <w:t xml:space="preserve">       │         양품 복귀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└── 중대/복잡 ──→ MRB 소집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┌──────┼──────┐</w:t>
      </w:r>
      <w:r>
        <w:br/>
      </w:r>
      <w:r>
        <w:rPr>
          <w:rStyle w:val="VerbatimChar"/>
        </w:rPr>
        <w:t xml:space="preserve">                    ▼      ▼      ▼</w:t>
      </w:r>
      <w:r>
        <w:br/>
      </w:r>
      <w:r>
        <w:rPr>
          <w:rStyle w:val="VerbatimChar"/>
        </w:rPr>
        <w:t xml:space="preserve">                  수리   특채   폐기</w:t>
      </w:r>
      <w:r>
        <w:br/>
      </w:r>
      <w:r>
        <w:rPr>
          <w:rStyle w:val="VerbatimChar"/>
        </w:rPr>
        <w:t xml:space="preserve">                    │      │      │</w:t>
      </w:r>
      <w:r>
        <w:br/>
      </w:r>
      <w:r>
        <w:rPr>
          <w:rStyle w:val="VerbatimChar"/>
        </w:rPr>
        <w:t xml:space="preserve">                    ▼      ▼      │</w:t>
      </w:r>
      <w:r>
        <w:br/>
      </w:r>
      <w:r>
        <w:rPr>
          <w:rStyle w:val="VerbatimChar"/>
        </w:rPr>
        <w:t xml:space="preserve">               고객승인  고객승인   │</w:t>
      </w:r>
      <w:r>
        <w:br/>
      </w:r>
      <w:r>
        <w:rPr>
          <w:rStyle w:val="VerbatimChar"/>
        </w:rPr>
        <w:t xml:space="preserve">                    │      │      │</w:t>
      </w:r>
      <w:r>
        <w:br/>
      </w:r>
      <w:r>
        <w:rPr>
          <w:rStyle w:val="VerbatimChar"/>
        </w:rPr>
        <w:t xml:space="preserve">                    ▼      ▼      ▼</w:t>
      </w:r>
      <w:r>
        <w:br/>
      </w:r>
      <w:r>
        <w:rPr>
          <w:rStyle w:val="VerbatimChar"/>
        </w:rPr>
        <w:t xml:space="preserve">               실행/기록  인도   폐기기록</w:t>
      </w:r>
    </w:p>
    <w:p>
      <w:pPr>
        <w:pStyle w:val="FirstParagraph"/>
      </w:pPr>
      <w:r>
        <w:rPr>
          <w:b/>
          <w:bCs/>
        </w:rPr>
        <w:t xml:space="preserve">문서 끝 — QP-818 Rev. 0</w:t>
      </w:r>
    </w:p>
    <w:bookmarkEnd w:id="41"/>
    <w:bookmarkEnd w:id="42"/>
    <w:sectPr>
      <w:footnotePr>
        <w:numRestart w:val="eachSect"/>
      </w:footnotePr>
      <w:pgSz w:h="16840" w:w="11907"/>
      <w:pgMar w:bottom="1418" w:footer="709" w:gutter="0" w:header="709" w:left="1701" w:right="1418" w:top="1418"/>
      <w:headerReference r:id="rId_hdr1" w:type="default"/>
      <w:footerReference r:id="rId_ftr1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tabs>
        <w:tab w:val="center" w:pos="4394"/>
        <w:tab w:val="right" w:pos="8788"/>
      </w:tabs>
      <w:jc w:val="left"/>
    </w:pPr>
    <w:r>
      <w:t>대외비</w:t>
    </w:r>
    <w:r>
      <w:tab/>
    </w:r>
    <w:r>
      <w:t>부적합 출력 관리 절차서</w:t>
    </w:r>
    <w:r>
      <w:tab/>
    </w:r>
    <w:r>
      <w:t>2026년 4월 ___일</w:t>
    </w:r>
    <w:r>
      <w:t xml:space="preserve">  |  </w:t>
    </w:r>
    <w:fldSimple w:instr=" PAGE ">
      <w:r>
        <w:t>1</w:t>
      </w:r>
    </w:fldSimple>
    <w:r>
      <w:t xml:space="preserve"> / </w:t>
    </w:r>
    <w:fldSimple w:instr=" NUMPAGES 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mc:Ignorable="w14">
  <w:p>
    <w:pPr>
      <w:pStyle w:val="Header"/>
      <w:tabs>
        <w:tab w:val="center" w:pos="5300"/>
        <w:tab w:val="right" w:pos="8788"/>
      </w:tabs>
      <w:jc w:val="left"/>
    </w:pPr>
    <w:r>
      <w:drawing>
        <wp:inline distT="0" distB="0" distL="0" distR="114300">
          <wp:extent cx="1143000" cy="457200"/>
          <wp:effectExtent l="0" t="0" r="0" b="0"/>
          <wp:docPr id="1" name="CompanyLogo" descr="M&amp;C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Company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b/>
        <w:sz w:val="20"/>
      </w:rPr>
      <w:t>부적합 출력 관리 절차서</w:t>
    </w:r>
    <w:r>
      <w:tab/>
    </w:r>
    <w:r>
      <w:rPr>
        <w:sz w:val="18"/>
      </w:rPr>
      <w:t>QP-818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맑은 고딕" w:hAnsi="맑은 고딕" w:eastAsia="맑은 고딕" w:cs="맑은 고딕"/>
      <w:color w:val="1A1A1A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맑은 고딕" w:hAnsi="맑은 고딕" w:eastAsia="맑은 고딕" w:cs="맑은 고딕"/>
      <w:color w:val="1A1A1A"/>
    </w:rPr>
  </w:style>
  <w:style w:customStyle="1" w:styleId="FirstParagraph" w:type="paragraph">
    <w:name w:val="First Paragraph"/>
    <w:basedOn w:val="BodyText"/>
    <w:next w:val="BodyText"/>
    <w:qFormat/>
    <w:rPr>
      <w:rFonts w:ascii="맑은 고딕" w:hAnsi="맑은 고딕" w:eastAsia="맑은 고딕" w:cs="맑은 고딕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맑은 고딕" w:hAnsi="맑은 고딕" w:eastAsia="맑은 고딕" w:cs="맑은 고딕"/>
      <w:color w:val="1A1A1A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맑은 고딕" w:hAnsi="맑은 고딕" w:eastAsia="맑은 고딕" w:cs="맑은 고딕"/>
      <w:color w:val="1A1A1A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  <w:rPr>
      <w:rFonts w:ascii="맑은 고딕" w:hAnsi="맑은 고딕" w:eastAsia="맑은 고딕" w:cs="맑은 고딕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맑은 고딕" w:hAnsi="맑은 고딕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enteredLogo" w:type="paragraph">
    <w:name w:val="CenteredLogo"/>
    <w:basedOn w:val="Normal"/>
    <w:pPr>
      <w:jc w:val="center"/>
      <w:spacing w:after="0" w:before="0"/>
    </w:p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맑은 고딕" w:hAnsi="맑은 고딕" w:eastAsia="맑은 고딕" w:cs="맑은 고딕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_hdr1" Type="http://schemas.openxmlformats.org/officeDocument/2006/relationships/header" Target="header1.xml"/><Relationship Id="rId_ftr1" Type="http://schemas.openxmlformats.org/officeDocument/2006/relationships/footer" Target="footer1.xml"/><Relationship Id="rId9" Type="http://schemas.openxmlformats.org/officeDocument/2006/relationships/image" Target="media/rId9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logo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부적합 출력 관리 절차서</dc:title>
  <dc:creator/>
  <cp:keywords/>
  <dcterms:created xsi:type="dcterms:W3CDTF">2026-04-10T08:21:07Z</dcterms:created>
  <dcterms:modified xsi:type="dcterms:W3CDTF">2026-04-10T08:21:07Z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_date">
    <vt:lpwstr>2026년 4월 ___일</vt:lpwstr>
  </property>
  <property fmtid="{D5CDD505-2E9C-101B-9397-08002B2CF9AE}" pid="3" name="doc_number">
    <vt:lpwstr>QP-818</vt:lpwstr>
  </property>
  <property fmtid="{D5CDD505-2E9C-101B-9397-08002B2CF9AE}" pid="4" name="logo_path">
    <vt:lpwstr>C:/Users/MISTOP/Documents/mnc-doc-AS9100D/reference/logo.jpg</vt:lpwstr>
  </property>
  <property fmtid="{D5CDD505-2E9C-101B-9397-08002B2CF9AE}" pid="5" name="revision">
    <vt:lpwstr>Rev. 0</vt:lpwstr>
  </property>
</Properties>
</file>