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FOD 방지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QP-819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FOD 방지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완전 신규 작성, CAR-011 시정조치 반영)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eca6095758e8a8c929168600b7fb0ed5ce50fa3">
        <w:r>
          <w:rPr>
            <w:rStyle w:val="Hyperlink"/>
          </w:rPr>
          <w:t xml:space="preserve">FOD 방지 프로그램</w:t>
        </w:r>
      </w:hyperlink>
    </w:p>
    <w:p>
      <w:pPr>
        <w:pStyle w:val="Compact"/>
        <w:numPr>
          <w:ilvl w:val="0"/>
          <w:numId w:val="1001"/>
        </w:numPr>
      </w:pPr>
      <w:hyperlink w:anchor="Xb543a282ac3b3dff6370a2d9ac0e1ebcca66c61">
        <w:r>
          <w:rPr>
            <w:rStyle w:val="Hyperlink"/>
          </w:rPr>
          <w:t xml:space="preserve">FOD 예방 활동</w:t>
        </w:r>
      </w:hyperlink>
    </w:p>
    <w:p>
      <w:pPr>
        <w:pStyle w:val="Compact"/>
        <w:numPr>
          <w:ilvl w:val="0"/>
          <w:numId w:val="1001"/>
        </w:numPr>
      </w:pPr>
      <w:hyperlink w:anchor="X7cba798d931e9a853fb45bfea42c4268b5d7970">
        <w:r>
          <w:rPr>
            <w:rStyle w:val="Hyperlink"/>
          </w:rPr>
          <w:t xml:space="preserve">FOD 구역 관리</w:t>
        </w:r>
      </w:hyperlink>
    </w:p>
    <w:p>
      <w:pPr>
        <w:pStyle w:val="Compact"/>
        <w:numPr>
          <w:ilvl w:val="0"/>
          <w:numId w:val="1001"/>
        </w:numPr>
      </w:pPr>
      <w:hyperlink w:anchor="X9b48f5ae41391584c2b12112978e549bc593a65">
        <w:r>
          <w:rPr>
            <w:rStyle w:val="Hyperlink"/>
          </w:rPr>
          <w:t xml:space="preserve">FOD 검사</w:t>
        </w:r>
      </w:hyperlink>
    </w:p>
    <w:p>
      <w:pPr>
        <w:pStyle w:val="Compact"/>
        <w:numPr>
          <w:ilvl w:val="0"/>
          <w:numId w:val="1001"/>
        </w:numPr>
      </w:pPr>
      <w:hyperlink w:anchor="Xa05fb6fb07e1267eaee2fce95d1939ea34ea7f2">
        <w:r>
          <w:rPr>
            <w:rStyle w:val="Hyperlink"/>
          </w:rPr>
          <w:t xml:space="preserve">FOD 교육/인식</w:t>
        </w:r>
      </w:hyperlink>
    </w:p>
    <w:p>
      <w:pPr>
        <w:pStyle w:val="Compact"/>
        <w:numPr>
          <w:ilvl w:val="0"/>
          <w:numId w:val="1001"/>
        </w:numPr>
      </w:pPr>
      <w:hyperlink w:anchor="X2f68916241b05b5c9fd73d1dba7da616cb8a72a">
        <w:r>
          <w:rPr>
            <w:rStyle w:val="Hyperlink"/>
          </w:rPr>
          <w:t xml:space="preserve">FOD 발생 시 대응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항공우주 제품 제조, 검사, 보관 및 운송 전 과정에서 FOD(Foreign Object Debris/Damage, 이물질 손상)를 예방하고 관리하기 위한 체계적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8.5.1 항공우주 산업 요건에 따른 FOD 방지 프로그램 수립 및 운영</w:t>
      </w:r>
      <w:r>
        <w:t xml:space="preserve"> </w:t>
      </w:r>
      <w:r>
        <w:t xml:space="preserve">- 제품, 부품, 어셈블리에 대한 이물질 오염 및 손상 예방</w:t>
      </w:r>
      <w:r>
        <w:t xml:space="preserve"> </w:t>
      </w:r>
      <w:r>
        <w:t xml:space="preserve">- FOD 통제 구역(FOD Critical Zone) 지정 및 관리 기준 확립</w:t>
      </w:r>
      <w:r>
        <w:t xml:space="preserve"> </w:t>
      </w:r>
      <w:r>
        <w:t xml:space="preserve">- 공구 관리(Tool Accountability), 부품 수량 관리(Hardware Accountability) 체계 운영</w:t>
      </w:r>
      <w:r>
        <w:t xml:space="preserve"> </w:t>
      </w:r>
      <w:r>
        <w:t xml:space="preserve">- FOD 인식 교육 및 전 임직원 예방 문화 정착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CAR-011 (FOD 관리 프로그램 부재, FOD 통제 구역 미지정, 교육 미실시) 시정조치 반영</w:t>
      </w:r>
    </w:p>
    <w:p>
      <w:pPr>
        <w:pStyle w:val="BlockText"/>
      </w:pPr>
      <w:r>
        <w:rPr>
          <w:b/>
          <w:bCs/>
        </w:rPr>
        <w:t xml:space="preserve">CAR-011 연계</w:t>
      </w:r>
      <w:r>
        <w:t xml:space="preserve">: 갭 분석에서</w:t>
      </w:r>
      <w:r>
        <w:t xml:space="preserve"> </w:t>
      </w:r>
      <w:r>
        <w:t xml:space="preserve">“FOD(이물질) 관리 프로그램 없음, FOD 통제 구역 미지정, 교육 미실시”</w:t>
      </w:r>
      <w:r>
        <w:t xml:space="preserve">로 Major 부적합이 식별됨. 본 절차서는 Fishbone(6M) 분석을 통해 도출된 근본 원인(항공우주 FOD 요구사항 인식 부재, 고객 요구사항 검토 미흡)에 대한 시정조치로 제정됨.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항공우주 제품과 관련된 모든 생산, 검사, 보관, 운송 영역에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생산 영역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CNC 가공, 프레스, 조립, 배선, 납땜 등 전 생산 공정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 검사, 공정 검사, 최종 검사, 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영역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원자재 창고, 반제품 보관소, 완제품 창고, 치공구 보관소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운송 영역</w:t>
            </w:r>
          </w:p>
        </w:tc>
        <w:tc>
          <w:tcPr/>
          <w:p>
            <w:pPr>
              <w:pStyle w:val="Compact"/>
            </w:pPr>
            <w:r>
              <w:t xml:space="preserve">사내 물류(공정 간 이동), 출하 포장, 외부 운송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영역</w:t>
            </w:r>
          </w:p>
        </w:tc>
        <w:tc>
          <w:tcPr/>
          <w:p>
            <w:pPr>
              <w:pStyle w:val="Compact"/>
            </w:pPr>
            <w:r>
              <w:t xml:space="preserve">도금, 열처리, 비파괴검사 등 외부 처리 위탁 시 FOD 요건 전달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클린룸, 제조 현장, 시험실, 사무실 인접 생산 구역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제외</w:t>
      </w:r>
      <w:r>
        <w:t xml:space="preserve">: 일반 사무 영역(생산 구역과 분리된 순수 사무 공간)은 본 절차서 적용 대상에서 제외하되, FOD 인식 교육은 전 임직원에게 적용한다.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(8.5.1항 — 생산/서비스 관리 조건)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 412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Prevention (미 국방/항공우주 FOD 방지 표준)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AS9146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FOD Prevention Program — Requirements for Aviation, Space, and Defense Organizations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9S Quality Standard</w:t>
            </w:r>
          </w:p>
        </w:tc>
        <w:tc>
          <w:tcPr/>
          <w:p>
            <w:pPr>
              <w:pStyle w:val="Compact"/>
            </w:pPr>
            <w:r>
              <w:t xml:space="preserve">Boeing FOD Prevention Requirements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역량/교육훈련 관리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QP-706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문서화된 정보 관리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FOD (Foreign Object Debris)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제품, 시스템 또는 장비에 잠재적 손상을 유발할 수 있는 이물질(금속 조각, 와이어 잔재, 볼트/너트, 공구, 개인 물품, 포장재 파편, 먼지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(Foreign Object Damage)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이물질(Foreign Object Debris)에 의해 제품, 시스템 또는 장비에 발생한 손상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구역 (FOD Area)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FOD 방지 활동이 적용되는 일반 작업 구역으로, 기본 청결 기준과 FOD 예방 조치가 시행되는 영역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Critical Zone</w:t>
            </w:r>
          </w:p>
        </w:tc>
        <w:tc>
          <w:tcPr/>
          <w:p>
            <w:pPr>
              <w:pStyle w:val="Compact"/>
            </w:pPr>
            <w:r>
              <w:t xml:space="preserve">FOD 발생 시 제품 안전성 또는 기능에 직접적 영향을 미칠 수 있는 고위험 구역. 강화된 통제 기준 적용 (예: 정밀 조립 라인, 클린룸, 개구부 작업 구역)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Accountability (공구 수량 관리)</w:t>
            </w:r>
          </w:p>
        </w:tc>
        <w:tc>
          <w:tcPr/>
          <w:p>
            <w:pPr>
              <w:pStyle w:val="Compact"/>
            </w:pPr>
            <w:r>
              <w:t xml:space="preserve">작업 전후 공구 수량을 확인하여 공구가 제품 내부에 유실되지 않았음을 보장하는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Accountability (부품 수량 관리)</w:t>
            </w:r>
          </w:p>
        </w:tc>
        <w:tc>
          <w:tcPr/>
          <w:p>
            <w:pPr>
              <w:pStyle w:val="Compact"/>
            </w:pPr>
            <w:r>
              <w:t xml:space="preserve">작업에 투입되는 볼트, 너트, 와셔, 리벳 등 소형 부품의 수량을 작업 전후 확인하여 미사용 부품이 제품 내에 잔류하지 않음을 보장하는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Walk-down</w:t>
            </w:r>
          </w:p>
        </w:tc>
        <w:tc>
          <w:tcPr/>
          <w:p>
            <w:pPr>
              <w:pStyle w:val="Compact"/>
            </w:pPr>
            <w:r>
              <w:t xml:space="preserve">작업 구역을 체계적으로 순회하며 이물질 유무를 검사하는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개구부 보호 (Opening Protection)</w:t>
            </w:r>
          </w:p>
        </w:tc>
        <w:tc>
          <w:tcPr/>
          <w:p>
            <w:pPr>
              <w:pStyle w:val="Compact"/>
            </w:pPr>
            <w:r>
              <w:t xml:space="preserve">제품의 개구부(구멍, 튜브, 커넥터 등)를 커버, 플러그, 캡, 테이프 등으로 밀봉하여 이물질 유입을 방지하는 활동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태그 (FOD Tag)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개구부 보호물(커버/플러그)에 부착하는 식별 표식으로, 보호 일자, 담당자, 제거 조건 등을 기재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 — FOD 관리자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방지 프로그램 총괄 관리; FOD 정책 승인; FOD 관련 경영검토 보고; FOD 프로그램 유효성 평가; 외부 심사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 — FOD 코디네이터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방지 프로그램 실무 운영; FOD 구역 지정/관리 기준 수립; FOD 검사 일정 수립/실행; FOD 교육 프로그램 기획; FOD 발생 시 원인 분석 주도; FOD 기록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생산 현장 FOD 예방 활동 실행; 작업 전후 FOD 검사 관리; Tool/Hardware Accountability 실행 책임; 작업자 FOD 교육 이행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FOD 방지 관련 작업표준서 반영; 공정 설계 시 FOD 리스크 고려; 개구부 보호 방법 기술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구매/자재팀장</w:t>
            </w:r>
          </w:p>
        </w:tc>
        <w:tc>
          <w:tcPr/>
          <w:p>
            <w:pPr>
              <w:pStyle w:val="Compact"/>
            </w:pPr>
            <w:r>
              <w:t xml:space="preserve">입고 자재 FOD 검사; 보관 구역 FOD 관리; 포장/운송 시 FOD 방지 요건 적용; 외주처 FOD 요건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FOD 예방 규정 준수; 개인 물품 관리; FOD 발견 즉시 보고; FOD 교육 이수; 작업 구역 청결 유지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방문자/외주 인력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입장 전 FOD 교육(간이) 이수; FOD 구역 규정 준수; 개인 물품 반입 금지</w:t>
            </w:r>
          </w:p>
        </w:tc>
      </w:tr>
    </w:tbl>
    <w:bookmarkEnd w:id="18"/>
    <w:bookmarkStart w:id="25" w:name="fod-방지-프로그램"/>
    <w:p>
      <w:pPr>
        <w:pStyle w:val="Heading1"/>
      </w:pPr>
      <w:r>
        <w:t xml:space="preserve">6. FOD 방지 프로그램</w:t>
      </w:r>
    </w:p>
    <w:bookmarkStart w:id="19" w:name="fod-방지-정책"/>
    <w:p>
      <w:pPr>
        <w:pStyle w:val="Heading2"/>
      </w:pPr>
      <w:r>
        <w:t xml:space="preserve">6.1 FOD 방지 정책</w:t>
      </w:r>
    </w:p>
    <w:p>
      <w:pPr>
        <w:pStyle w:val="FirstParagraph"/>
      </w:pPr>
      <w:r>
        <w:t xml:space="preserve">M&amp;C Electronics VINA는 항공우주 제품의 안전성과 품질을 보장하기 위하여 다음과 같은 FOD 방지 정책을 수립하고 이행한다:</w:t>
      </w:r>
    </w:p>
    <w:p>
      <w:pPr>
        <w:pStyle w:val="Compact"/>
        <w:numPr>
          <w:ilvl w:val="0"/>
          <w:numId w:val="1002"/>
        </w:numPr>
      </w:pPr>
      <w:r>
        <w:t xml:space="preserve">모든 항공우주 제품의 제조, 검사, 보관, 운송 과정에서 FOD가 발생하지 않도록 예방 활동을 우선한다</w:t>
      </w:r>
    </w:p>
    <w:p>
      <w:pPr>
        <w:pStyle w:val="Compact"/>
        <w:numPr>
          <w:ilvl w:val="0"/>
          <w:numId w:val="1002"/>
        </w:numPr>
      </w:pPr>
      <w:r>
        <w:t xml:space="preserve">FOD 방지 활동은 전 임직원의 책임이며, 경영진은 이를 위한 자원과 환경을 제공한다</w:t>
      </w:r>
    </w:p>
    <w:p>
      <w:pPr>
        <w:pStyle w:val="Compact"/>
        <w:numPr>
          <w:ilvl w:val="0"/>
          <w:numId w:val="1002"/>
        </w:numPr>
      </w:pPr>
      <w:r>
        <w:t xml:space="preserve">FOD 발생 시 즉시 보고하며, 은폐 또는 방치 시 징계 대상이 된다</w:t>
      </w:r>
    </w:p>
    <w:p>
      <w:pPr>
        <w:pStyle w:val="Compact"/>
        <w:numPr>
          <w:ilvl w:val="0"/>
          <w:numId w:val="1002"/>
        </w:numPr>
      </w:pPr>
      <w:r>
        <w:t xml:space="preserve">FOD 방지 프로그램의 유효성을 정기적으로 평가하고 개선한다</w:t>
      </w:r>
    </w:p>
    <w:bookmarkEnd w:id="19"/>
    <w:bookmarkStart w:id="20" w:name="fod-인식-교육"/>
    <w:p>
      <w:pPr>
        <w:pStyle w:val="Heading2"/>
      </w:pPr>
      <w:r>
        <w:t xml:space="preserve">6.2 FOD 인식 교육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입사자 교육</w:t>
            </w:r>
          </w:p>
        </w:tc>
        <w:tc>
          <w:tcPr/>
          <w:p>
            <w:pPr>
              <w:pStyle w:val="Compact"/>
            </w:pPr>
            <w:r>
              <w:t xml:space="preserve">전 신규 입사자</w:t>
            </w:r>
          </w:p>
        </w:tc>
        <w:tc>
          <w:tcPr/>
          <w:p>
            <w:pPr>
              <w:pStyle w:val="Compact"/>
            </w:pPr>
            <w:r>
              <w:t xml:space="preserve">입사 시 (배치 전 필수)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정의, 위험성, 사례, 기본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교육</w:t>
            </w:r>
          </w:p>
        </w:tc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연 1회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방지 절차, 사례 공유, 규정 변경사항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 교육</w:t>
            </w:r>
          </w:p>
        </w:tc>
        <w:tc>
          <w:tcPr/>
          <w:p>
            <w:pPr>
              <w:pStyle w:val="Compact"/>
            </w:pPr>
            <w:r>
              <w:t xml:space="preserve">FOD 발생 관련자</w:t>
            </w:r>
          </w:p>
        </w:tc>
        <w:tc>
          <w:tcPr/>
          <w:p>
            <w:pPr>
              <w:pStyle w:val="Compact"/>
            </w:pPr>
            <w:r>
              <w:t xml:space="preserve">FOD 발생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발생 사례 분석, 재발 방지 대책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방문자/외주 교육</w:t>
            </w:r>
          </w:p>
        </w:tc>
        <w:tc>
          <w:tcPr/>
          <w:p>
            <w:pPr>
              <w:pStyle w:val="Compact"/>
            </w:pPr>
            <w:r>
              <w:t xml:space="preserve">방문자, 외주 인력</w:t>
            </w:r>
          </w:p>
        </w:tc>
        <w:tc>
          <w:tcPr/>
          <w:p>
            <w:pPr>
              <w:pStyle w:val="Compact"/>
            </w:pPr>
            <w:r>
              <w:t xml:space="preserve">입장 시 (간이)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구역 규정, 개인 물품 관리, 금지사항</w:t>
            </w:r>
          </w:p>
        </w:tc>
      </w:tr>
    </w:tbl>
    <w:bookmarkEnd w:id="20"/>
    <w:bookmarkStart w:id="23" w:name="fod-구역-지정"/>
    <w:p>
      <w:pPr>
        <w:pStyle w:val="Heading2"/>
      </w:pPr>
      <w:r>
        <w:t xml:space="preserve">6.3 FOD 구역 지정</w:t>
      </w:r>
    </w:p>
    <w:bookmarkStart w:id="21" w:name="fod-구역-분류"/>
    <w:p>
      <w:pPr>
        <w:pStyle w:val="Heading3"/>
      </w:pPr>
      <w:r>
        <w:t xml:space="preserve">6.3.1 FOD 구역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통제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 — FOD Critical Zone</w:t>
            </w:r>
          </w:p>
        </w:tc>
        <w:tc>
          <w:tcPr/>
          <w:p>
            <w:pPr>
              <w:pStyle w:val="Compact"/>
            </w:pPr>
            <w:r>
              <w:t xml:space="preserve">정밀 조립 라인, 클린룸, 개구부 작업 구역, 최종 검사 구역</w:t>
            </w:r>
          </w:p>
        </w:tc>
        <w:tc>
          <w:tcPr/>
          <w:p>
            <w:pPr>
              <w:pStyle w:val="Compact"/>
            </w:pPr>
            <w:r>
              <w:t xml:space="preserve">강화 통제 (출입 제한, 개인 물품 전면 금지, 작업 전후 FOD walk-down 필수)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적색 표지판 + 바닥 적색 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 — FOD Controlled Area</w:t>
            </w:r>
          </w:p>
        </w:tc>
        <w:tc>
          <w:tcPr/>
          <w:p>
            <w:pPr>
              <w:pStyle w:val="Compact"/>
            </w:pPr>
            <w:r>
              <w:t xml:space="preserve">일반 생산 라인, CNC 가공, 프레스, 납땜 구역</w:t>
            </w:r>
          </w:p>
        </w:tc>
        <w:tc>
          <w:tcPr/>
          <w:p>
            <w:pPr>
              <w:pStyle w:val="Compact"/>
            </w:pPr>
            <w:r>
              <w:t xml:space="preserve">기본 통제 (개인 물품 제한, 정기 FOD 검사, 작업 후 청소 필수)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황색 표지판 + 바닥 황색 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 — FOD Awareness Area</w:t>
            </w:r>
          </w:p>
        </w:tc>
        <w:tc>
          <w:tcPr/>
          <w:p>
            <w:pPr>
              <w:pStyle w:val="Compact"/>
            </w:pPr>
            <w:r>
              <w:t xml:space="preserve">원자재 창고, 완제품 창고, 포장 구역, 시험실</w:t>
            </w:r>
          </w:p>
        </w:tc>
        <w:tc>
          <w:tcPr/>
          <w:p>
            <w:pPr>
              <w:pStyle w:val="Compact"/>
            </w:pPr>
            <w:r>
              <w:t xml:space="preserve">인식 수준 (기본 청결 유지, 정기 순회 검사)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청색 표지판</w:t>
            </w:r>
          </w:p>
        </w:tc>
      </w:tr>
    </w:tbl>
    <w:bookmarkEnd w:id="21"/>
    <w:bookmarkStart w:id="22" w:name="fod-구역-표시-요건"/>
    <w:p>
      <w:pPr>
        <w:pStyle w:val="Heading3"/>
      </w:pPr>
      <w:r>
        <w:t xml:space="preserve">6.3.2 FOD 구역 표시 요건</w:t>
      </w:r>
    </w:p>
    <w:p>
      <w:pPr>
        <w:pStyle w:val="Compact"/>
        <w:numPr>
          <w:ilvl w:val="0"/>
          <w:numId w:val="1003"/>
        </w:numPr>
      </w:pPr>
      <w:r>
        <w:t xml:space="preserve">각 FOD 구역 입구에 FOD 등급 표지판 설치</w:t>
      </w:r>
    </w:p>
    <w:p>
      <w:pPr>
        <w:pStyle w:val="Compact"/>
        <w:numPr>
          <w:ilvl w:val="0"/>
          <w:numId w:val="1003"/>
        </w:numPr>
      </w:pPr>
      <w:r>
        <w:t xml:space="preserve">바닥 라인 테이프(Level 1: 적색, Level 2: 황색)로 구역 경계 표시</w:t>
      </w:r>
    </w:p>
    <w:p>
      <w:pPr>
        <w:pStyle w:val="Compact"/>
        <w:numPr>
          <w:ilvl w:val="0"/>
          <w:numId w:val="1003"/>
        </w:numPr>
      </w:pPr>
      <w:r>
        <w:t xml:space="preserve">FOD 구역 내</w:t>
      </w:r>
      <w:r>
        <w:t xml:space="preserve"> </w:t>
      </w:r>
      <w:r>
        <w:t xml:space="preserve">“FOD 예방 수칙”</w:t>
      </w:r>
      <w:r>
        <w:t xml:space="preserve"> </w:t>
      </w:r>
      <w:r>
        <w:t xml:space="preserve">게시물 부착</w:t>
      </w:r>
    </w:p>
    <w:p>
      <w:pPr>
        <w:pStyle w:val="Compact"/>
        <w:numPr>
          <w:ilvl w:val="0"/>
          <w:numId w:val="1003"/>
        </w:numPr>
      </w:pPr>
      <w:r>
        <w:t xml:space="preserve">FOD 구역도(Site Map)를 사내 게시 및 교육 시 활용</w:t>
      </w:r>
    </w:p>
    <w:bookmarkEnd w:id="22"/>
    <w:bookmarkEnd w:id="23"/>
    <w:bookmarkStart w:id="24" w:name="청결-기준"/>
    <w:p>
      <w:pPr>
        <w:pStyle w:val="Heading2"/>
      </w:pPr>
      <w:r>
        <w:t xml:space="preserve">6.4 청결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청소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청결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작업 시작 전/후, 교대 시, 작업 중단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육안으로 이물질 미확인; 바닥, 작업대 위 잔재물 없음; 개구부 보호물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작업 종료 후, 교대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금속 칩/절삭유 잔재 제거; 작업대/바닥 청소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일 1회 이상</w:t>
            </w:r>
          </w:p>
        </w:tc>
        <w:tc>
          <w:tcPr/>
          <w:p>
            <w:pPr>
              <w:pStyle w:val="Compact"/>
            </w:pPr>
            <w:r>
              <w:t xml:space="preserve">통로/보관 구역 정리정돈 완료; 파손 포장재/먼지 제거</w:t>
            </w:r>
          </w:p>
        </w:tc>
      </w:tr>
    </w:tbl>
    <w:bookmarkEnd w:id="24"/>
    <w:bookmarkEnd w:id="25"/>
    <w:bookmarkStart w:id="34" w:name="fod-예방-활동"/>
    <w:p>
      <w:pPr>
        <w:pStyle w:val="Heading1"/>
      </w:pPr>
      <w:r>
        <w:t xml:space="preserve">7. FOD 예방 활동</w:t>
      </w:r>
    </w:p>
    <w:bookmarkStart w:id="26" w:name="개인-물품-관리"/>
    <w:p>
      <w:pPr>
        <w:pStyle w:val="Heading2"/>
      </w:pPr>
      <w:r>
        <w:t xml:space="preserve">7.1 개인 물품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10"/>
        <w:gridCol w:w="2299"/>
        <w:gridCol w:w="2554"/>
        <w:gridCol w:w="255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FOD Critical Zone (Level 1)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FOD Controlled Area (Level 2)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FOD Awareness Area (Level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휴대폰</w:t>
            </w:r>
          </w:p>
        </w:tc>
        <w:tc>
          <w:tcPr/>
          <w:p>
            <w:pPr>
              <w:pStyle w:val="Compact"/>
            </w:pPr>
            <w:r>
              <w:t xml:space="preserve">반입 금지</w:t>
            </w:r>
          </w:p>
        </w:tc>
        <w:tc>
          <w:tcPr/>
          <w:p>
            <w:pPr>
              <w:pStyle w:val="Compact"/>
            </w:pPr>
            <w:r>
              <w:t xml:space="preserve">지정 보관함에 보관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주의하여 휴대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음식/음료</w:t>
            </w:r>
          </w:p>
        </w:tc>
        <w:tc>
          <w:tcPr/>
          <w:p>
            <w:pPr>
              <w:pStyle w:val="Compact"/>
            </w:pPr>
            <w:r>
              <w:t xml:space="preserve">반입 금지</w:t>
            </w:r>
          </w:p>
        </w:tc>
        <w:tc>
          <w:tcPr/>
          <w:p>
            <w:pPr>
              <w:pStyle w:val="Compact"/>
            </w:pPr>
            <w:r>
              <w:t xml:space="preserve">반입 금지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지정 장소에서만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액세서리(반지, 목걸이 등)</w:t>
            </w:r>
          </w:p>
        </w:tc>
        <w:tc>
          <w:tcPr/>
          <w:p>
            <w:pPr>
              <w:pStyle w:val="Compact"/>
            </w:pPr>
            <w:r>
              <w:t xml:space="preserve">착용 금지</w:t>
            </w:r>
          </w:p>
        </w:tc>
        <w:tc>
          <w:tcPr/>
          <w:p>
            <w:pPr>
              <w:pStyle w:val="Compact"/>
            </w:pPr>
            <w:r>
              <w:t xml:space="preserve">착용 금지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주머니 내 물품</w:t>
            </w:r>
          </w:p>
        </w:tc>
        <w:tc>
          <w:tcPr/>
          <w:p>
            <w:pPr>
              <w:pStyle w:val="Compact"/>
            </w:pPr>
            <w:r>
              <w:t xml:space="preserve">전량 반출 (투명 주머니 사용)</w:t>
            </w:r>
          </w:p>
        </w:tc>
        <w:tc>
          <w:tcPr/>
          <w:p>
            <w:pPr>
              <w:pStyle w:val="Compact"/>
            </w:pPr>
            <w:r>
              <w:t xml:space="preserve">낙하 방지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필기구</w:t>
            </w:r>
          </w:p>
        </w:tc>
        <w:tc>
          <w:tcPr/>
          <w:p>
            <w:pPr>
              <w:pStyle w:val="Compact"/>
            </w:pPr>
            <w:r>
              <w:t xml:space="preserve">끈 부착 또는 반입 금지</w:t>
            </w:r>
          </w:p>
        </w:tc>
        <w:tc>
          <w:tcPr/>
          <w:p>
            <w:pPr>
              <w:pStyle w:val="Compact"/>
            </w:pPr>
            <w:r>
              <w:t xml:space="preserve">끈 부착 권장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자유</w:t>
            </w:r>
          </w:p>
        </w:tc>
      </w:tr>
    </w:tbl>
    <w:bookmarkEnd w:id="26"/>
    <w:bookmarkStart w:id="29" w:name="공구-관리-tool-accountability"/>
    <w:p>
      <w:pPr>
        <w:pStyle w:val="Heading2"/>
      </w:pPr>
      <w:r>
        <w:t xml:space="preserve">7.2 공구 관리 (Tool Accountability)</w:t>
      </w:r>
    </w:p>
    <w:bookmarkStart w:id="27" w:name="공구-수량-확인-절차"/>
    <w:p>
      <w:pPr>
        <w:pStyle w:val="Heading3"/>
      </w:pPr>
      <w:r>
        <w:t xml:space="preserve">7.2.1 공구 수량 확인 절차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1. 작업 시작 전      │</w:t>
      </w:r>
      <w:r>
        <w:br/>
      </w:r>
      <w:r>
        <w:rPr>
          <w:rStyle w:val="VerbatimChar"/>
        </w:rPr>
        <w:t xml:space="preserve">│    공구 목록 확인     │</w:t>
      </w:r>
      <w:r>
        <w:br/>
      </w:r>
      <w:r>
        <w:rPr>
          <w:rStyle w:val="VerbatimChar"/>
        </w:rPr>
        <w:t xml:space="preserve">│    (Shadow Board 또는 │</w:t>
      </w:r>
      <w:r>
        <w:br/>
      </w:r>
      <w:r>
        <w:rPr>
          <w:rStyle w:val="VerbatimChar"/>
        </w:rPr>
        <w:t xml:space="preserve">│     공구 체크시트)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2. 공구 수량 기록    │</w:t>
      </w:r>
      <w:r>
        <w:br/>
      </w:r>
      <w:r>
        <w:rPr>
          <w:rStyle w:val="VerbatimChar"/>
        </w:rPr>
        <w:t xml:space="preserve">│    (총 수량, 품명)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3. 작업 수행         │</w:t>
      </w:r>
      <w:r>
        <w:br/>
      </w:r>
      <w:r>
        <w:rPr>
          <w:rStyle w:val="VerbatimChar"/>
        </w:rPr>
        <w:t xml:space="preserve">│    (공구 사용 시     │</w:t>
      </w:r>
      <w:r>
        <w:br/>
      </w:r>
      <w:r>
        <w:rPr>
          <w:rStyle w:val="VerbatimChar"/>
        </w:rPr>
        <w:t xml:space="preserve">│     지정 위치 반납)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4. 작업 완료 후      │</w:t>
      </w:r>
      <w:r>
        <w:br/>
      </w:r>
      <w:r>
        <w:rPr>
          <w:rStyle w:val="VerbatimChar"/>
        </w:rPr>
        <w:t xml:space="preserve">│    공구 수량 재확인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┌─────┴─────┐</w:t>
      </w:r>
      <w:r>
        <w:br/>
      </w:r>
      <w:r>
        <w:rPr>
          <w:rStyle w:val="VerbatimChar"/>
        </w:rPr>
        <w:t xml:space="preserve">     │           │</w:t>
      </w:r>
      <w:r>
        <w:br/>
      </w:r>
      <w:r>
        <w:rPr>
          <w:rStyle w:val="VerbatimChar"/>
        </w:rPr>
        <w:t xml:space="preserve">     ▼           ▼</w:t>
      </w:r>
      <w:r>
        <w:br/>
      </w:r>
      <w:r>
        <w:rPr>
          <w:rStyle w:val="VerbatimChar"/>
        </w:rPr>
        <w:t xml:space="preserve">┌─────────┐  ┌──────────────────┐</w:t>
      </w:r>
      <w:r>
        <w:br/>
      </w:r>
      <w:r>
        <w:rPr>
          <w:rStyle w:val="VerbatimChar"/>
        </w:rPr>
        <w:t xml:space="preserve">│ 일치    │  │ 불일치           │</w:t>
      </w:r>
      <w:r>
        <w:br/>
      </w:r>
      <w:r>
        <w:rPr>
          <w:rStyle w:val="VerbatimChar"/>
        </w:rPr>
        <w:t xml:space="preserve">│ → 기록  │  │ → 작업 중단      │</w:t>
      </w:r>
      <w:r>
        <w:br/>
      </w:r>
      <w:r>
        <w:rPr>
          <w:rStyle w:val="VerbatimChar"/>
        </w:rPr>
        <w:t xml:space="preserve">│   완료  │  │ → 즉시 수색      │</w:t>
      </w:r>
      <w:r>
        <w:br/>
      </w:r>
      <w:r>
        <w:rPr>
          <w:rStyle w:val="VerbatimChar"/>
        </w:rPr>
        <w:t xml:space="preserve">└─────────┘  │ → FOD 보고서 작성│</w:t>
      </w:r>
      <w:r>
        <w:br/>
      </w:r>
      <w:r>
        <w:rPr>
          <w:rStyle w:val="VerbatimChar"/>
        </w:rPr>
        <w:t xml:space="preserve">             │ → 제품 격리       │</w:t>
      </w:r>
      <w:r>
        <w:br/>
      </w:r>
      <w:r>
        <w:rPr>
          <w:rStyle w:val="VerbatimChar"/>
        </w:rPr>
        <w:t xml:space="preserve">             └──────────────────┘</w:t>
      </w:r>
    </w:p>
    <w:bookmarkEnd w:id="27"/>
    <w:bookmarkStart w:id="28" w:name="공구-관리-요건"/>
    <w:p>
      <w:pPr>
        <w:pStyle w:val="Heading3"/>
      </w:pPr>
      <w:r>
        <w:t xml:space="preserve">7.2.2 공구 관리 요건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Shadow Board</w:t>
      </w:r>
      <w:r>
        <w:t xml:space="preserve">: 공구 형상이 표시된 보관판 사용 (빈 자리 즉시 확인 가능)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공구 체크시트(F-816-01)</w:t>
      </w:r>
      <w:r>
        <w:t xml:space="preserve">: 작업 시작/종료 시 공구 수량을 기록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파손 공구</w:t>
      </w:r>
      <w:r>
        <w:t xml:space="preserve">: 파손 시 전체 조각 수거 확인 후 교체. 파편 미회수 시 FOD 보고서 작성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개인 공구</w:t>
      </w:r>
      <w:r>
        <w:t xml:space="preserve">: FOD 구역 내 개인 공구 사용 금지 (회사 지급 공구만 허용)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공구 표식</w:t>
      </w:r>
      <w:r>
        <w:t xml:space="preserve">: 각 공구에 일련번호 또는 식별 표시 부착</w:t>
      </w:r>
    </w:p>
    <w:bookmarkEnd w:id="28"/>
    <w:bookmarkEnd w:id="29"/>
    <w:bookmarkStart w:id="30" w:name="부품-수량-관리-hardware-accountability"/>
    <w:p>
      <w:pPr>
        <w:pStyle w:val="Heading2"/>
      </w:pPr>
      <w:r>
        <w:t xml:space="preserve">7.3 부품 수량 관리 (Hardware Accountability)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절차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작업 전 수량 확인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투입 부품(볼트, 너트, 와셔, 리벳, 클립 등) 수량을 BOM 기준으로 확인·기록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중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부품을 분류 트레이에 보관; 바닥 낙하 부품 즉시 수거; 여분 부품 별도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후 수량 확인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설치 수량 + 잔여 수량 = 최초 불출 수량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불일치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중단 → 수색 → 미발견 시 FOD 보고서 작성 → 제품 격리</w:t>
            </w:r>
          </w:p>
        </w:tc>
      </w:tr>
    </w:tbl>
    <w:bookmarkEnd w:id="30"/>
    <w:bookmarkStart w:id="31" w:name="개구부-보호-coverplug"/>
    <w:p>
      <w:pPr>
        <w:pStyle w:val="Heading2"/>
      </w:pPr>
      <w:r>
        <w:t xml:space="preserve">7.4 개구부 보호 (Cover/Plug)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보호 대상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튜브, 배관, 커넥터, 포트, 구멍, 덕트 등 이물질 유입 가능한 모든 개구부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전용 캡(Cap), 플러그(Plug), 커버(Cover), 보호 테이프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태그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모든 보호물에 FOD 태그 부착 (일자, 담당자, 제거 조건 기재)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제거 시점</w:t>
            </w:r>
          </w:p>
        </w:tc>
        <w:tc>
          <w:tcPr/>
          <w:p>
            <w:pPr>
              <w:pStyle w:val="Compact"/>
            </w:pPr>
            <w:r>
              <w:t xml:space="preserve">후속 작업 직전에만 제거 → 작업 완료 후 즉시 재보호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보호물 검사</w:t>
            </w:r>
          </w:p>
        </w:tc>
        <w:tc>
          <w:tcPr/>
          <w:p>
            <w:pPr>
              <w:pStyle w:val="Compact"/>
            </w:pPr>
            <w:r>
              <w:t xml:space="preserve">보호물 상태(파손, 이탈, 오염 여부) 정기 점검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보호물 수량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설치/제거 시 보호물 수량 확인 (보호물 자체가 FOD가 되지 않도록)</w:t>
            </w:r>
          </w:p>
        </w:tc>
      </w:tr>
    </w:tbl>
    <w:bookmarkEnd w:id="31"/>
    <w:bookmarkStart w:id="32" w:name="작업-전후-청소"/>
    <w:p>
      <w:pPr>
        <w:pStyle w:val="Heading2"/>
      </w:pPr>
      <w:r>
        <w:t xml:space="preserve">7.5 작업 전후 청소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시작 전</w:t>
            </w:r>
          </w:p>
        </w:tc>
        <w:tc>
          <w:tcPr/>
          <w:p>
            <w:pPr>
              <w:pStyle w:val="Compact"/>
            </w:pPr>
            <w:r>
              <w:t xml:space="preserve">작업대/장비/주변 청소; 이전 작업 잔재물 제거 확인; FOD 유무 점검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중</w:t>
            </w:r>
          </w:p>
        </w:tc>
        <w:tc>
          <w:tcPr/>
          <w:p>
            <w:pPr>
              <w:pStyle w:val="Compact"/>
            </w:pPr>
            <w:r>
              <w:t xml:space="preserve">절삭칩/잔재물 수시 제거; 사용 완료 자재 즉시 반납/폐기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완료 후</w:t>
            </w:r>
          </w:p>
        </w:tc>
        <w:tc>
          <w:tcPr/>
          <w:p>
            <w:pPr>
              <w:pStyle w:val="Compact"/>
            </w:pPr>
            <w:r>
              <w:t xml:space="preserve">작업 구역 전체 청소; 공구/부품 수량 확인; FOD 검사 실시</w:t>
            </w:r>
          </w:p>
        </w:tc>
        <w:tc>
          <w:tcPr/>
          <w:p>
            <w:pPr>
              <w:pStyle w:val="Compact"/>
            </w:pPr>
            <w:r>
              <w:t xml:space="preserve">작업자 + 반장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교대 시</w:t>
            </w:r>
          </w:p>
        </w:tc>
        <w:tc>
          <w:tcPr/>
          <w:p>
            <w:pPr>
              <w:pStyle w:val="Compact"/>
            </w:pPr>
            <w:r>
              <w:t xml:space="preserve">인수인계 시 FOD 상태 확인; 청소 상태 확인 서명</w:t>
            </w:r>
          </w:p>
        </w:tc>
        <w:tc>
          <w:tcPr/>
          <w:p>
            <w:pPr>
              <w:pStyle w:val="Compact"/>
            </w:pPr>
            <w:r>
              <w:t xml:space="preserve">인계자/인수자</w:t>
            </w:r>
          </w:p>
        </w:tc>
      </w:tr>
    </w:tbl>
    <w:bookmarkEnd w:id="32"/>
    <w:bookmarkStart w:id="33" w:name="쓰레기잔해-관리"/>
    <w:p>
      <w:pPr>
        <w:pStyle w:val="Heading2"/>
      </w:pPr>
      <w:r>
        <w:t xml:space="preserve">7.6 쓰레기/잔해 관리</w:t>
      </w:r>
    </w:p>
    <w:p>
      <w:pPr>
        <w:pStyle w:val="Compact"/>
        <w:numPr>
          <w:ilvl w:val="0"/>
          <w:numId w:val="1005"/>
        </w:numPr>
      </w:pPr>
      <w:r>
        <w:t xml:space="preserve">각 작업 구역에 밀폐형 쓰레기통 배치 (뚜껑 필수)</w:t>
      </w:r>
    </w:p>
    <w:p>
      <w:pPr>
        <w:pStyle w:val="Compact"/>
        <w:numPr>
          <w:ilvl w:val="0"/>
          <w:numId w:val="1005"/>
        </w:numPr>
      </w:pPr>
      <w:r>
        <w:t xml:space="preserve">금속 잔재(칩, 버, 절삭분)와 일반 쓰레기 분리 수거</w:t>
      </w:r>
    </w:p>
    <w:p>
      <w:pPr>
        <w:pStyle w:val="Compact"/>
        <w:numPr>
          <w:ilvl w:val="0"/>
          <w:numId w:val="1005"/>
        </w:numPr>
      </w:pPr>
      <w:r>
        <w:t xml:space="preserve">쓰레기통은 70% 이상 차기 전에 교체</w:t>
      </w:r>
    </w:p>
    <w:p>
      <w:pPr>
        <w:pStyle w:val="Compact"/>
        <w:numPr>
          <w:ilvl w:val="0"/>
          <w:numId w:val="1005"/>
        </w:numPr>
      </w:pPr>
      <w:r>
        <w:t xml:space="preserve">포장재(스티로폼, 비닐, 종이) 즉시 처리 — 현장 방치 금지</w:t>
      </w:r>
    </w:p>
    <w:p>
      <w:pPr>
        <w:pStyle w:val="Compact"/>
        <w:numPr>
          <w:ilvl w:val="0"/>
          <w:numId w:val="1005"/>
        </w:numPr>
      </w:pPr>
      <w:r>
        <w:t xml:space="preserve">압축공기(에어건) 사용 시 비산 방지 조치 실시 (FOD Critical Zone 내 에어건 사용 제한)</w:t>
      </w:r>
    </w:p>
    <w:bookmarkEnd w:id="33"/>
    <w:bookmarkEnd w:id="34"/>
    <w:bookmarkStart w:id="40" w:name="fod-구역-관리"/>
    <w:p>
      <w:pPr>
        <w:pStyle w:val="Heading1"/>
      </w:pPr>
      <w:r>
        <w:t xml:space="preserve">8. FOD 구역 관리</w:t>
      </w:r>
    </w:p>
    <w:bookmarkStart w:id="37" w:name="fod-critical-zone-지정"/>
    <w:p>
      <w:pPr>
        <w:pStyle w:val="Heading2"/>
      </w:pPr>
      <w:r>
        <w:t xml:space="preserve">8.1 FOD Critical Zone 지정</w:t>
      </w:r>
    </w:p>
    <w:bookmarkStart w:id="35" w:name="지정-기준"/>
    <w:p>
      <w:pPr>
        <w:pStyle w:val="Heading3"/>
      </w:pPr>
      <w:r>
        <w:t xml:space="preserve">8.1.1 지정 기준</w:t>
      </w:r>
    </w:p>
    <w:p>
      <w:pPr>
        <w:pStyle w:val="FirstParagraph"/>
      </w:pPr>
      <w:r>
        <w:t xml:space="preserve">다음 조건에 해당하는 구역을 FOD Critical Zone(Level 1)으로 지정한다: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지정 기준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개구부가 노출된 상태로 작업하는 구역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배관 조립, 커넥터 연결 작업대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 안전 핵심 부품(Safety-Critical Item) 취급 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비행 제어 관련 부품 조립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밀봉/밀폐 전 최종 조립 구역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하우징 조립, 기밀 봉인 작업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정밀 전자 부품 조립/시험 구역</w:t>
            </w:r>
          </w:p>
        </w:tc>
        <w:tc>
          <w:tcPr/>
          <w:p>
            <w:pPr>
              <w:pStyle w:val="Compact"/>
            </w:pPr>
            <w:r>
              <w:t xml:space="preserve">PCB 실장, 와이어 하네스 제작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FOD Critical Zone 지정을 요구한 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사양서에 명시된 경우</w:t>
            </w:r>
          </w:p>
        </w:tc>
      </w:tr>
    </w:tbl>
    <w:bookmarkEnd w:id="35"/>
    <w:bookmarkStart w:id="36" w:name="지정-절차"/>
    <w:p>
      <w:pPr>
        <w:pStyle w:val="Heading3"/>
      </w:pPr>
      <w:r>
        <w:t xml:space="preserve">8.1.2 지정 절차</w:t>
      </w:r>
    </w:p>
    <w:p>
      <w:pPr>
        <w:pStyle w:val="Compact"/>
        <w:numPr>
          <w:ilvl w:val="0"/>
          <w:numId w:val="1006"/>
        </w:numPr>
      </w:pPr>
      <w:r>
        <w:t xml:space="preserve">FOD 코디네이터(품질팀장)가 현장 평가 실시</w:t>
      </w:r>
    </w:p>
    <w:p>
      <w:pPr>
        <w:pStyle w:val="Compact"/>
        <w:numPr>
          <w:ilvl w:val="0"/>
          <w:numId w:val="1006"/>
        </w:numPr>
      </w:pPr>
      <w:r>
        <w:t xml:space="preserve">FOD 리스크 수준에 따라 구역 등급(Level 1/2/3) 결정</w:t>
      </w:r>
    </w:p>
    <w:p>
      <w:pPr>
        <w:pStyle w:val="Compact"/>
        <w:numPr>
          <w:ilvl w:val="0"/>
          <w:numId w:val="1006"/>
        </w:numPr>
      </w:pPr>
      <w:r>
        <w:t xml:space="preserve">QMR 승인 후 구역 지정 공포</w:t>
      </w:r>
    </w:p>
    <w:p>
      <w:pPr>
        <w:pStyle w:val="Compact"/>
        <w:numPr>
          <w:ilvl w:val="0"/>
          <w:numId w:val="1006"/>
        </w:numPr>
      </w:pPr>
      <w:r>
        <w:t xml:space="preserve">구역 표시(표지판, 바닥 라인) 설치</w:t>
      </w:r>
    </w:p>
    <w:p>
      <w:pPr>
        <w:pStyle w:val="Compact"/>
        <w:numPr>
          <w:ilvl w:val="0"/>
          <w:numId w:val="1006"/>
        </w:numPr>
      </w:pPr>
      <w:r>
        <w:t xml:space="preserve">해당 구역 작업자 대상 특별 교육 실시</w:t>
      </w:r>
    </w:p>
    <w:bookmarkEnd w:id="36"/>
    <w:bookmarkEnd w:id="37"/>
    <w:bookmarkStart w:id="38" w:name="출입-통제"/>
    <w:p>
      <w:pPr>
        <w:pStyle w:val="Heading2"/>
      </w:pPr>
      <w:r>
        <w:t xml:space="preserve">8.2 출입 통제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5544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출입 통제 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Level 1 (Critical Zone)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출입 로그 작성 필수; 승인된 작업자만 출입; 방문자 반드시 동반 출입; 입장 전 개인 물품 점검; 출입 시 FOD 점검 (신발 이물질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 (Controlled Area)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관련자만 출입; 방문자 동반 출입 권장; 음식/음료 반입 금지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3 (Awareness Area)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자유 출입; FOD 인식 표지판 확인</w:t>
            </w:r>
          </w:p>
        </w:tc>
      </w:tr>
    </w:tbl>
    <w:bookmarkEnd w:id="38"/>
    <w:bookmarkStart w:id="39" w:name="환경-관리"/>
    <w:p>
      <w:pPr>
        <w:pStyle w:val="Heading2"/>
      </w:pPr>
      <w:r>
        <w:t xml:space="preserve">8.3 환경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조명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이물질 육안 식별이 가능한 충분한 조도 확보 (작업면 최소 500 lux)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균열, 파손 없는 매끈한 바닥재; 청소 용이한 재질; 정기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매끈한 표면; 가장자리 턱(lip) 설치로 부품 낙하 방지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환기</w:t>
            </w:r>
          </w:p>
        </w:tc>
        <w:tc>
          <w:tcPr/>
          <w:p>
            <w:pPr>
              <w:pStyle w:val="Compact"/>
            </w:pPr>
            <w:r>
              <w:t xml:space="preserve">먼지/입자 유입을 최소화하는 양압 또는 필터링 시스템 (Level 1)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배수구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격자 커버 설치; 부품 유실 방지 망 적용</w:t>
            </w:r>
          </w:p>
        </w:tc>
      </w:tr>
    </w:tbl>
    <w:bookmarkEnd w:id="39"/>
    <w:bookmarkEnd w:id="40"/>
    <w:bookmarkStart w:id="44" w:name="fod-검사"/>
    <w:p>
      <w:pPr>
        <w:pStyle w:val="Heading1"/>
      </w:pPr>
      <w:r>
        <w:t xml:space="preserve">9. FOD 검사</w:t>
      </w:r>
    </w:p>
    <w:bookmarkStart w:id="41" w:name="fod-walk-down"/>
    <w:p>
      <w:pPr>
        <w:pStyle w:val="Heading2"/>
      </w:pPr>
      <w:r>
        <w:t xml:space="preserve">9.1 FOD Walk-down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정의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지정된 경로를 따라 체계적으로 작업 구역을 순회하며 이물질 유무를 검사하는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1: 작업 시작 전/후 매회, Level 2: 일 1회, Level 3: 주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FOD 코디네이터가 지정한 검사원 또는 해당 구역 반장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정해진 Walk-down 경로를 따라 육안 검사; 필요 시 거울, 손전등, 내시경 활용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F-816-01 FOD 검사 기록서에 검사 일시, 구역, 결과, 검사원 서명 기록</w:t>
            </w:r>
          </w:p>
        </w:tc>
      </w:tr>
    </w:tbl>
    <w:bookmarkEnd w:id="41"/>
    <w:bookmarkStart w:id="42" w:name="작업-전후-검사"/>
    <w:p>
      <w:pPr>
        <w:pStyle w:val="Heading2"/>
      </w:pPr>
      <w:r>
        <w:t xml:space="preserve">9.2 작업 전후 검사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작업 시작 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작업대/장비 위 이물질 유무; 개구부 보호물 상태; 공구/부품 수량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완료 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내외부 이물질 유무; 개구부 보호 재적용; 공구/부품 수량 일치; 청소 완료 상태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밀봉/봉인 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밀봉 대상 내부 최종 FOD 검사 (필수 — 품질 검사원 확인 서명)</w:t>
            </w:r>
          </w:p>
        </w:tc>
      </w:tr>
    </w:tbl>
    <w:bookmarkEnd w:id="42"/>
    <w:bookmarkStart w:id="43" w:name="fod-발견-시-보고"/>
    <w:p>
      <w:pPr>
        <w:pStyle w:val="Heading2"/>
      </w:pPr>
      <w:r>
        <w:t xml:space="preserve">9.3 FOD 발견 시 보고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FOD 발견         │</w:t>
      </w:r>
      <w:r>
        <w:br/>
      </w:r>
      <w:r>
        <w:rPr>
          <w:rStyle w:val="VerbatimChar"/>
        </w:rPr>
        <w:t xml:space="preserve">│ (누구든 즉시)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작업 즉시 중단   │</w:t>
      </w:r>
      <w:r>
        <w:br/>
      </w:r>
      <w:r>
        <w:rPr>
          <w:rStyle w:val="VerbatimChar"/>
        </w:rPr>
        <w:t xml:space="preserve">│ 이물질 수거/보존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반장/감독자 보고 │</w:t>
      </w:r>
      <w:r>
        <w:br/>
      </w:r>
      <w:r>
        <w:rPr>
          <w:rStyle w:val="VerbatimChar"/>
        </w:rPr>
        <w:t xml:space="preserve">│ (구두 즉시)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FOD 코디네이터   │</w:t>
      </w:r>
      <w:r>
        <w:br/>
      </w:r>
      <w:r>
        <w:rPr>
          <w:rStyle w:val="VerbatimChar"/>
        </w:rPr>
        <w:t xml:space="preserve">│ (품질팀장) 통보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FOD 검사 기록서  │     │ 제품 영향 평가   │</w:t>
      </w:r>
      <w:r>
        <w:br/>
      </w:r>
      <w:r>
        <w:rPr>
          <w:rStyle w:val="VerbatimChar"/>
        </w:rPr>
        <w:t xml:space="preserve">│ (F-816-01) 작성  │────→│ 손상 여부 확인   │</w:t>
      </w:r>
      <w:r>
        <w:br/>
      </w:r>
      <w:r>
        <w:rPr>
          <w:rStyle w:val="VerbatimChar"/>
        </w:rPr>
        <w:t xml:space="preserve">└──────────────────┘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│             │</w:t>
      </w:r>
      <w:r>
        <w:br/>
      </w:r>
      <w:r>
        <w:rPr>
          <w:rStyle w:val="VerbatimChar"/>
        </w:rPr>
        <w:t xml:space="preserve">                           ▼             ▼</w:t>
      </w:r>
      <w:r>
        <w:br/>
      </w:r>
      <w:r>
        <w:rPr>
          <w:rStyle w:val="VerbatimChar"/>
        </w:rPr>
        <w:t xml:space="preserve">                    ┌───────────┐  ┌──────────────┐</w:t>
      </w:r>
      <w:r>
        <w:br/>
      </w:r>
      <w:r>
        <w:rPr>
          <w:rStyle w:val="VerbatimChar"/>
        </w:rPr>
        <w:t xml:space="preserve">                    │ 손상 없음 │  │ 손상 확인    │</w:t>
      </w:r>
      <w:r>
        <w:br/>
      </w:r>
      <w:r>
        <w:rPr>
          <w:rStyle w:val="VerbatimChar"/>
        </w:rPr>
        <w:t xml:space="preserve">                    │ → 청소 후 │  │ → 부적합     │</w:t>
      </w:r>
      <w:r>
        <w:br/>
      </w:r>
      <w:r>
        <w:rPr>
          <w:rStyle w:val="VerbatimChar"/>
        </w:rPr>
        <w:t xml:space="preserve">                    │   작업    │  │   처리       │</w:t>
      </w:r>
      <w:r>
        <w:br/>
      </w:r>
      <w:r>
        <w:rPr>
          <w:rStyle w:val="VerbatimChar"/>
        </w:rPr>
        <w:t xml:space="preserve">                    │   재개    │  │   (QP-1001)  │</w:t>
      </w:r>
      <w:r>
        <w:br/>
      </w:r>
      <w:r>
        <w:rPr>
          <w:rStyle w:val="VerbatimChar"/>
        </w:rPr>
        <w:t xml:space="preserve">                    └───────────┘  └──────────────┘</w:t>
      </w:r>
    </w:p>
    <w:bookmarkEnd w:id="43"/>
    <w:bookmarkEnd w:id="44"/>
    <w:bookmarkStart w:id="49" w:name="fod-교육인식"/>
    <w:p>
      <w:pPr>
        <w:pStyle w:val="Heading1"/>
      </w:pPr>
      <w:r>
        <w:t xml:space="preserve">10. FOD 교육/인식</w:t>
      </w:r>
    </w:p>
    <w:bookmarkStart w:id="45" w:name="연간-교육-계획"/>
    <w:p>
      <w:pPr>
        <w:pStyle w:val="Heading2"/>
      </w:pPr>
      <w:r>
        <w:t xml:space="preserve">10.1 연간 교육 계획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084"/>
        <w:gridCol w:w="1250"/>
        <w:gridCol w:w="1250"/>
        <w:gridCol w:w="1250"/>
        <w:gridCol w:w="20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기초 교육</w:t>
            </w:r>
          </w:p>
        </w:tc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2시간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정의/위험성, 방지 절차, 구역 규정, 개인 책임, 보고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심화 교육</w:t>
            </w:r>
          </w:p>
        </w:tc>
        <w:tc>
          <w:tcPr/>
          <w:p>
            <w:pPr>
              <w:pStyle w:val="Compact"/>
            </w:pPr>
            <w:r>
              <w:t xml:space="preserve">FOD 구역 작업자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4시간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Tool/Hardware Accountability, 개구부 보호, Walk-down, 사례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코디네이터 교육</w:t>
            </w:r>
          </w:p>
        </w:tc>
        <w:tc>
          <w:tcPr/>
          <w:p>
            <w:pPr>
              <w:pStyle w:val="Compact"/>
            </w:pPr>
            <w:r>
              <w:t xml:space="preserve">FOD 코디네이터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8시간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프로그램 관리, 감사 기법, NAS 412/SAE AS9146 요건, 원인 분석</w:t>
            </w:r>
          </w:p>
        </w:tc>
      </w:tr>
    </w:tbl>
    <w:bookmarkEnd w:id="45"/>
    <w:bookmarkStart w:id="46" w:name="신규-입사자-교육"/>
    <w:p>
      <w:pPr>
        <w:pStyle w:val="Heading2"/>
      </w:pPr>
      <w:r>
        <w:t xml:space="preserve">10.2 신규 입사자 교육</w:t>
      </w:r>
    </w:p>
    <w:p>
      <w:pPr>
        <w:pStyle w:val="Compact"/>
        <w:numPr>
          <w:ilvl w:val="0"/>
          <w:numId w:val="1007"/>
        </w:numPr>
      </w:pPr>
      <w:r>
        <w:t xml:space="preserve">배치 전 필수 이수 (미이수 시 FOD 구역 출입 불가)</w:t>
      </w:r>
    </w:p>
    <w:p>
      <w:pPr>
        <w:pStyle w:val="Compact"/>
        <w:numPr>
          <w:ilvl w:val="0"/>
          <w:numId w:val="1007"/>
        </w:numPr>
      </w:pPr>
      <w:r>
        <w:t xml:space="preserve">교육 내용: FOD 정의, 위험성, 실제 사고 사례(사진/동영상), 기본 규정, 보고 절차</w:t>
      </w:r>
    </w:p>
    <w:p>
      <w:pPr>
        <w:pStyle w:val="Compact"/>
        <w:numPr>
          <w:ilvl w:val="0"/>
          <w:numId w:val="1007"/>
        </w:numPr>
      </w:pPr>
      <w:r>
        <w:t xml:space="preserve">교육 후 이해도 확인 (퀴즈 또는 실습)</w:t>
      </w:r>
    </w:p>
    <w:p>
      <w:pPr>
        <w:pStyle w:val="Compact"/>
        <w:numPr>
          <w:ilvl w:val="0"/>
          <w:numId w:val="1007"/>
        </w:numPr>
      </w:pPr>
      <w:r>
        <w:t xml:space="preserve">교육 이수 기록: QP-703(역량/교육훈련 관리) 연계 관리</w:t>
      </w:r>
    </w:p>
    <w:bookmarkEnd w:id="46"/>
    <w:bookmarkStart w:id="47" w:name="fod-사례-공유"/>
    <w:p>
      <w:pPr>
        <w:pStyle w:val="Heading2"/>
      </w:pPr>
      <w:r>
        <w:t xml:space="preserve">10.3 FOD 사례 공유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사례 게시</w:t>
            </w:r>
          </w:p>
        </w:tc>
        <w:tc>
          <w:tcPr/>
          <w:p>
            <w:pPr>
              <w:pStyle w:val="Compact"/>
            </w:pPr>
            <w:r>
              <w:t xml:space="preserve">발생 시 즉시 + 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사내 발생 사례 및 산업계 사고 사례를 게시판에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교훈 미팅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 내 FOD 발생 현황 리뷰, 교훈 도출, 개선 사항 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우수 사례 포상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FOD 방지 우수 부서/개인 포상 (인식 제고)</w:t>
            </w:r>
          </w:p>
        </w:tc>
      </w:tr>
    </w:tbl>
    <w:bookmarkEnd w:id="47"/>
    <w:bookmarkStart w:id="48" w:name="fod-인식-캠페인"/>
    <w:p>
      <w:pPr>
        <w:pStyle w:val="Heading2"/>
      </w:pPr>
      <w:r>
        <w:t xml:space="preserve">10.4 FOD 인식 캠페인</w:t>
      </w:r>
    </w:p>
    <w:p>
      <w:pPr>
        <w:pStyle w:val="Compact"/>
        <w:numPr>
          <w:ilvl w:val="0"/>
          <w:numId w:val="1008"/>
        </w:numPr>
      </w:pPr>
      <w:r>
        <w:t xml:space="preserve">FOD 방지 포스터를 각 생산 구역, 출입구, 휴게실에 게시</w:t>
      </w:r>
    </w:p>
    <w:p>
      <w:pPr>
        <w:pStyle w:val="Compact"/>
        <w:numPr>
          <w:ilvl w:val="0"/>
          <w:numId w:val="1008"/>
        </w:numPr>
      </w:pPr>
      <w:r>
        <w:t xml:space="preserve">“Clean As You Go”</w:t>
      </w:r>
      <w:r>
        <w:t xml:space="preserve"> </w:t>
      </w:r>
      <w:r>
        <w:t xml:space="preserve">슬로건 적용</w:t>
      </w:r>
    </w:p>
    <w:p>
      <w:pPr>
        <w:pStyle w:val="Compact"/>
        <w:numPr>
          <w:ilvl w:val="0"/>
          <w:numId w:val="1008"/>
        </w:numPr>
      </w:pPr>
      <w:r>
        <w:t xml:space="preserve">FOD 인식의 달(연 1회) 지정 운영</w:t>
      </w:r>
    </w:p>
    <w:p>
      <w:pPr>
        <w:pStyle w:val="Compact"/>
        <w:numPr>
          <w:ilvl w:val="0"/>
          <w:numId w:val="1008"/>
        </w:numPr>
      </w:pPr>
      <w:r>
        <w:t xml:space="preserve">FOD 자가 점검 카드 배포 (작업자 휴대용)</w:t>
      </w:r>
    </w:p>
    <w:bookmarkEnd w:id="48"/>
    <w:bookmarkEnd w:id="49"/>
    <w:bookmarkStart w:id="54" w:name="fod-발생-시-대응"/>
    <w:p>
      <w:pPr>
        <w:pStyle w:val="Heading1"/>
      </w:pPr>
      <w:r>
        <w:t xml:space="preserve">11. FOD 발생 시 대응</w:t>
      </w:r>
    </w:p>
    <w:bookmarkStart w:id="50" w:name="즉시-대응-절차"/>
    <w:p>
      <w:pPr>
        <w:pStyle w:val="Heading2"/>
      </w:pPr>
      <w:r>
        <w:t xml:space="preserve">11.1 즉시 대응 절차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FOD 발견 즉시 작업 중단, 해당 이물질 수거/보존</w:t>
            </w:r>
          </w:p>
        </w:tc>
        <w:tc>
          <w:tcPr/>
          <w:p>
            <w:pPr>
              <w:pStyle w:val="Compact"/>
            </w:pPr>
            <w:r>
              <w:t xml:space="preserve">발견자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반장/감독자에게 구두 보고</w:t>
            </w:r>
          </w:p>
        </w:tc>
        <w:tc>
          <w:tcPr/>
          <w:p>
            <w:pPr>
              <w:pStyle w:val="Compact"/>
            </w:pPr>
            <w:r>
              <w:t xml:space="preserve">발견자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FOD 코디네이터(품질팀장)에게 통보</w:t>
            </w:r>
          </w:p>
        </w:tc>
        <w:tc>
          <w:tcPr/>
          <w:p>
            <w:pPr>
              <w:pStyle w:val="Compact"/>
            </w:pPr>
            <w:r>
              <w:t xml:space="preserve">반장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30분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관련 제품 격리 (부적합품 태그 부착)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FOD 검사 기록서(F-816-01) 작성</w:t>
            </w:r>
          </w:p>
        </w:tc>
        <w:tc>
          <w:tcPr/>
          <w:p>
            <w:pPr>
              <w:pStyle w:val="Compact"/>
            </w:pPr>
            <w:r>
              <w:t xml:space="preserve">발견자 + 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당일</w:t>
            </w:r>
          </w:p>
        </w:tc>
      </w:tr>
    </w:tbl>
    <w:bookmarkEnd w:id="50"/>
    <w:bookmarkStart w:id="51" w:name="원인-분석"/>
    <w:p>
      <w:pPr>
        <w:pStyle w:val="Heading2"/>
      </w:pPr>
      <w:r>
        <w:t xml:space="preserve">11.2 원인 분석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분석 방법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5-Why, Fishbone(6M), Fault Tree 등 적절한 방법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발생 원인, 유입 경로, 통제 실패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책임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FOD 코디네이터(품질팀장) 주도, 관련 부서 참여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분석 시한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발견 후 5영업일 이내</w:t>
            </w:r>
          </w:p>
        </w:tc>
      </w:tr>
    </w:tbl>
    <w:bookmarkEnd w:id="51"/>
    <w:bookmarkStart w:id="52" w:name="시정조치-qp-1001-연계"/>
    <w:p>
      <w:pPr>
        <w:pStyle w:val="Heading2"/>
      </w:pPr>
      <w:r>
        <w:t xml:space="preserve">11.3 시정조치 (QP-1001 연계)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절차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CAR 발행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반복 발생, 제품 손상, 안전 영향 시 QP-1001에 따라 CAR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 (Correction)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단발성, 경미한 경우 시정(Correction)만 실시 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계획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근본 원인 제거를 위한 조치 계획 수립 (담당자, 기한 명시)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실행</w:t>
            </w:r>
          </w:p>
        </w:tc>
        <w:tc>
          <w:tcPr/>
          <w:p>
            <w:pPr>
              <w:pStyle w:val="Compact"/>
            </w:pPr>
            <w:r>
              <w:t xml:space="preserve">계획에 따른 조치 실행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유효성 검증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조치 완료 후 재발 여부 모니터링 (최소 3개월)</w:t>
            </w:r>
          </w:p>
        </w:tc>
      </w:tr>
    </w:tbl>
    <w:bookmarkEnd w:id="52"/>
    <w:bookmarkStart w:id="53" w:name="fod-대응-프로세스-흐름도"/>
    <w:p>
      <w:pPr>
        <w:pStyle w:val="Heading2"/>
      </w:pPr>
      <w:r>
        <w:t xml:space="preserve">11.4 FOD 대응 프로세스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1. FOD 발견 │     │  2. 즉시     │     │  3. 보고     │</w:t>
      </w:r>
      <w:r>
        <w:br/>
      </w:r>
      <w:r>
        <w:rPr>
          <w:rStyle w:val="VerbatimChar"/>
        </w:rPr>
        <w:t xml:space="preserve">│  작업 중단   │────→│  격리/보존   │────→│  (반장→품질)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┌──────────────┐</w:t>
      </w:r>
      <w:r>
        <w:br/>
      </w:r>
      <w:r>
        <w:rPr>
          <w:rStyle w:val="VerbatimChar"/>
        </w:rPr>
        <w:t xml:space="preserve">                   │  4. 제품     │</w:t>
      </w:r>
      <w:r>
        <w:br/>
      </w:r>
      <w:r>
        <w:rPr>
          <w:rStyle w:val="VerbatimChar"/>
        </w:rPr>
        <w:t xml:space="preserve">                   │  영향 평가   │</w:t>
      </w:r>
      <w:r>
        <w:br/>
      </w:r>
      <w:r>
        <w:rPr>
          <w:rStyle w:val="VerbatimChar"/>
        </w:rPr>
        <w:t xml:space="preserve">                   └──────┬───────┘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┌──────┴──────┐</w:t>
      </w:r>
      <w:r>
        <w:br/>
      </w:r>
      <w:r>
        <w:rPr>
          <w:rStyle w:val="VerbatimChar"/>
        </w:rPr>
        <w:t xml:space="preserve">                   │             │</w:t>
      </w:r>
      <w:r>
        <w:br/>
      </w:r>
      <w:r>
        <w:rPr>
          <w:rStyle w:val="VerbatimChar"/>
        </w:rPr>
        <w:t xml:space="preserve">                   ▼             ▼</w:t>
      </w:r>
      <w:r>
        <w:br/>
      </w:r>
      <w:r>
        <w:rPr>
          <w:rStyle w:val="VerbatimChar"/>
        </w:rPr>
        <w:t xml:space="preserve">            ┌───────────┐  ┌──────────────┐</w:t>
      </w:r>
      <w:r>
        <w:br/>
      </w:r>
      <w:r>
        <w:rPr>
          <w:rStyle w:val="VerbatimChar"/>
        </w:rPr>
        <w:t xml:space="preserve">            │ 영향 없음 │  │ 영향 있음    │</w:t>
      </w:r>
      <w:r>
        <w:br/>
      </w:r>
      <w:r>
        <w:rPr>
          <w:rStyle w:val="VerbatimChar"/>
        </w:rPr>
        <w:t xml:space="preserve">            │           │  │ → 부적합     │</w:t>
      </w:r>
      <w:r>
        <w:br/>
      </w:r>
      <w:r>
        <w:rPr>
          <w:rStyle w:val="VerbatimChar"/>
        </w:rPr>
        <w:t xml:space="preserve">            │           │  │   처리       │</w:t>
      </w:r>
      <w:r>
        <w:br/>
      </w:r>
      <w:r>
        <w:rPr>
          <w:rStyle w:val="VerbatimChar"/>
        </w:rPr>
        <w:t xml:space="preserve">            └─────┬─────┘  └──────┬───────┘</w:t>
      </w:r>
      <w:r>
        <w:br/>
      </w:r>
      <w:r>
        <w:rPr>
          <w:rStyle w:val="VerbatimChar"/>
        </w:rPr>
        <w:t xml:space="preserve">                  │               │</w:t>
      </w:r>
      <w:r>
        <w:br/>
      </w:r>
      <w:r>
        <w:rPr>
          <w:rStyle w:val="VerbatimChar"/>
        </w:rPr>
        <w:t xml:space="preserve">                  └───────┬───────┘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┌──────────────┐</w:t>
      </w:r>
      <w:r>
        <w:br/>
      </w:r>
      <w:r>
        <w:rPr>
          <w:rStyle w:val="VerbatimChar"/>
        </w:rPr>
        <w:t xml:space="preserve">                   │  5. 원인     │</w:t>
      </w:r>
      <w:r>
        <w:br/>
      </w:r>
      <w:r>
        <w:rPr>
          <w:rStyle w:val="VerbatimChar"/>
        </w:rPr>
        <w:t xml:space="preserve">                   │  분석 (RCA)  │</w:t>
      </w:r>
      <w:r>
        <w:br/>
      </w:r>
      <w:r>
        <w:rPr>
          <w:rStyle w:val="VerbatimChar"/>
        </w:rPr>
        <w:t xml:space="preserve">                   └──────┬───────┘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┌──────────────┐</w:t>
      </w:r>
      <w:r>
        <w:br/>
      </w:r>
      <w:r>
        <w:rPr>
          <w:rStyle w:val="VerbatimChar"/>
        </w:rPr>
        <w:t xml:space="preserve">                   │  6. 시정조치 │</w:t>
      </w:r>
      <w:r>
        <w:br/>
      </w:r>
      <w:r>
        <w:rPr>
          <w:rStyle w:val="VerbatimChar"/>
        </w:rPr>
        <w:t xml:space="preserve">                   │  수립/실행   │</w:t>
      </w:r>
      <w:r>
        <w:br/>
      </w:r>
      <w:r>
        <w:rPr>
          <w:rStyle w:val="VerbatimChar"/>
        </w:rPr>
        <w:t xml:space="preserve">                   │  (QP-1001)  │</w:t>
      </w:r>
      <w:r>
        <w:br/>
      </w:r>
      <w:r>
        <w:rPr>
          <w:rStyle w:val="VerbatimChar"/>
        </w:rPr>
        <w:t xml:space="preserve">                   └──────┬───────┘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┌──────────────┐</w:t>
      </w:r>
      <w:r>
        <w:br/>
      </w:r>
      <w:r>
        <w:rPr>
          <w:rStyle w:val="VerbatimChar"/>
        </w:rPr>
        <w:t xml:space="preserve">                   │  7. 유효성   │</w:t>
      </w:r>
      <w:r>
        <w:br/>
      </w:r>
      <w:r>
        <w:rPr>
          <w:rStyle w:val="VerbatimChar"/>
        </w:rPr>
        <w:t xml:space="preserve">                   │  검증        │</w:t>
      </w:r>
      <w:r>
        <w:br/>
      </w:r>
      <w:r>
        <w:rPr>
          <w:rStyle w:val="VerbatimChar"/>
        </w:rPr>
        <w:t xml:space="preserve">                   │  (3개월)     │</w:t>
      </w:r>
      <w:r>
        <w:br/>
      </w:r>
      <w:r>
        <w:rPr>
          <w:rStyle w:val="VerbatimChar"/>
        </w:rPr>
        <w:t xml:space="preserve">                   └──────┬───────┘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┌──────────────┐</w:t>
      </w:r>
      <w:r>
        <w:br/>
      </w:r>
      <w:r>
        <w:rPr>
          <w:rStyle w:val="VerbatimChar"/>
        </w:rPr>
        <w:t xml:space="preserve">                   │  8. 종결     │</w:t>
      </w:r>
      <w:r>
        <w:br/>
      </w:r>
      <w:r>
        <w:rPr>
          <w:rStyle w:val="VerbatimChar"/>
        </w:rPr>
        <w:t xml:space="preserve">                   │  기록 보관   │</w:t>
      </w:r>
      <w:r>
        <w:br/>
      </w:r>
      <w:r>
        <w:rPr>
          <w:rStyle w:val="VerbatimChar"/>
        </w:rPr>
        <w:t xml:space="preserve">                   └──────────────┘</w:t>
      </w:r>
    </w:p>
    <w:bookmarkEnd w:id="53"/>
    <w:bookmarkEnd w:id="54"/>
    <w:bookmarkStart w:id="57" w:name="기록-관리"/>
    <w:p>
      <w:pPr>
        <w:pStyle w:val="Heading1"/>
      </w:pPr>
      <w:r>
        <w:t xml:space="preserve">12. 기록 관리</w:t>
      </w:r>
    </w:p>
    <w:bookmarkStart w:id="55" w:name="fod-관련-기록"/>
    <w:p>
      <w:pPr>
        <w:pStyle w:val="Heading2"/>
      </w:pPr>
      <w:r>
        <w:t xml:space="preserve">12.1 FOD 관련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검사 기록서</w:t>
            </w:r>
          </w:p>
        </w:tc>
        <w:tc>
          <w:tcPr/>
          <w:p>
            <w:pPr>
              <w:pStyle w:val="Compact"/>
            </w:pPr>
            <w:r>
              <w:t xml:space="preserve">F-816-01</w:t>
            </w:r>
          </w:p>
        </w:tc>
        <w:tc>
          <w:tcPr/>
          <w:p>
            <w:pPr>
              <w:pStyle w:val="Compact"/>
            </w:pPr>
            <w:r>
              <w:t xml:space="preserve">7년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 수량 확인 기록</w:t>
            </w:r>
          </w:p>
        </w:tc>
        <w:tc>
          <w:tcPr/>
          <w:p>
            <w:pPr>
              <w:pStyle w:val="Compact"/>
            </w:pPr>
            <w:r>
              <w:t xml:space="preserve">F-816-01 내</w:t>
            </w:r>
          </w:p>
        </w:tc>
        <w:tc>
          <w:tcPr/>
          <w:p>
            <w:pPr>
              <w:pStyle w:val="Compact"/>
            </w:pPr>
            <w:r>
              <w:t xml:space="preserve">7년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 수량 확인 기록</w:t>
            </w:r>
          </w:p>
        </w:tc>
        <w:tc>
          <w:tcPr/>
          <w:p>
            <w:pPr>
              <w:pStyle w:val="Compact"/>
            </w:pPr>
            <w:r>
              <w:t xml:space="preserve">F-816-01 내</w:t>
            </w:r>
          </w:p>
        </w:tc>
        <w:tc>
          <w:tcPr/>
          <w:p>
            <w:pPr>
              <w:pStyle w:val="Compact"/>
            </w:pPr>
            <w:r>
              <w:t xml:space="preserve">7년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교육 기록</w:t>
            </w:r>
          </w:p>
        </w:tc>
        <w:tc>
          <w:tcPr/>
          <w:p>
            <w:pPr>
              <w:pStyle w:val="Compact"/>
            </w:pPr>
            <w:r>
              <w:t xml:space="preserve">QP-703 연계</w:t>
            </w:r>
          </w:p>
        </w:tc>
        <w:tc>
          <w:tcPr/>
          <w:p>
            <w:pPr>
              <w:pStyle w:val="Compact"/>
            </w:pPr>
            <w:r>
              <w:t xml:space="preserve">7년</w:t>
            </w:r>
          </w:p>
        </w:tc>
        <w:tc>
          <w:tcPr/>
          <w:p>
            <w:pPr>
              <w:pStyle w:val="Compact"/>
            </w:pPr>
            <w:r>
              <w:t xml:space="preserve">인사팀/품질팀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발생 보고서</w:t>
            </w:r>
          </w:p>
        </w:tc>
        <w:tc>
          <w:tcPr/>
          <w:p>
            <w:pPr>
              <w:pStyle w:val="Compact"/>
            </w:pPr>
            <w:r>
              <w:t xml:space="preserve">F-816-01 내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시정조치 기록</w:t>
            </w:r>
          </w:p>
        </w:tc>
        <w:tc>
          <w:tcPr/>
          <w:p>
            <w:pPr>
              <w:pStyle w:val="Compact"/>
            </w:pPr>
            <w:r>
              <w:t xml:space="preserve">QP-1001 연계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구역 지정/변경 기록</w:t>
            </w:r>
          </w:p>
        </w:tc>
        <w:tc>
          <w:tcPr/>
          <w:p>
            <w:pPr>
              <w:pStyle w:val="Compact"/>
            </w:pPr>
            <w:r>
              <w:t xml:space="preserve">별도 관리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개구부 보호물 관리 대장</w:t>
            </w:r>
          </w:p>
        </w:tc>
        <w:tc>
          <w:tcPr/>
          <w:p>
            <w:pPr>
              <w:pStyle w:val="Compact"/>
            </w:pPr>
            <w:r>
              <w:t xml:space="preserve">F-816-01 내</w:t>
            </w:r>
          </w:p>
        </w:tc>
        <w:tc>
          <w:tcPr/>
          <w:p>
            <w:pPr>
              <w:pStyle w:val="Compact"/>
            </w:pPr>
            <w:r>
              <w:t xml:space="preserve">7년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</w:tr>
    </w:tbl>
    <w:bookmarkEnd w:id="55"/>
    <w:bookmarkStart w:id="56" w:name="기록-관리-원칙"/>
    <w:p>
      <w:pPr>
        <w:pStyle w:val="Heading2"/>
      </w:pPr>
      <w:r>
        <w:t xml:space="preserve">12.2 기록 관리 원칙</w:t>
      </w:r>
    </w:p>
    <w:p>
      <w:pPr>
        <w:pStyle w:val="Compact"/>
        <w:numPr>
          <w:ilvl w:val="0"/>
          <w:numId w:val="1009"/>
        </w:numPr>
      </w:pPr>
      <w:r>
        <w:t xml:space="preserve">모든 FOD 관련 기록은 QP-706(문서화된 정보 관리)에 따라 관리한다</w:t>
      </w:r>
    </w:p>
    <w:p>
      <w:pPr>
        <w:pStyle w:val="Compact"/>
        <w:numPr>
          <w:ilvl w:val="0"/>
          <w:numId w:val="1009"/>
        </w:numPr>
      </w:pPr>
      <w:r>
        <w:t xml:space="preserve">항공우주 제품 관련 기록은 고객 요구사항 또는 규정에 따른 보관 기한을 적용하며, 최소 7년을 보관한다</w:t>
      </w:r>
    </w:p>
    <w:p>
      <w:pPr>
        <w:pStyle w:val="Compact"/>
        <w:numPr>
          <w:ilvl w:val="0"/>
          <w:numId w:val="1009"/>
        </w:numPr>
      </w:pPr>
      <w:r>
        <w:t xml:space="preserve">전자 기록과 종이 기록을 병행 관리하며, 원본성을 보장한다</w:t>
      </w:r>
    </w:p>
    <w:p>
      <w:pPr>
        <w:pStyle w:val="Compact"/>
        <w:numPr>
          <w:ilvl w:val="0"/>
          <w:numId w:val="1009"/>
        </w:numPr>
      </w:pPr>
      <w:r>
        <w:t xml:space="preserve">FOD 발생 이력 데이터는 연간 FOD 발생 동향 분석에 활용한다</w:t>
      </w:r>
    </w:p>
    <w:bookmarkEnd w:id="56"/>
    <w:bookmarkEnd w:id="57"/>
    <w:bookmarkStart w:id="61" w:name="관련-문서-및-양식"/>
    <w:p>
      <w:pPr>
        <w:pStyle w:val="Heading1"/>
      </w:pPr>
      <w:r>
        <w:t xml:space="preserve">13. 관련 문서 및 양식</w:t>
      </w:r>
    </w:p>
    <w:bookmarkStart w:id="58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(§8.5.1 FOD 방지 요건)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관리 조건 내 FOD 요건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  <w:tc>
          <w:tcPr/>
          <w:p>
            <w:pPr>
              <w:pStyle w:val="Compact"/>
            </w:pPr>
            <w:r>
              <w:t xml:space="preserve">FOD 발생 시 로트 추적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  <w:tc>
          <w:tcPr/>
          <w:p>
            <w:pPr>
              <w:pStyle w:val="Compact"/>
            </w:pPr>
            <w:r>
              <w:t xml:space="preserve">FOD 발생 시 CAR 발행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역량/교육훈련 관리</w:t>
            </w:r>
          </w:p>
        </w:tc>
        <w:tc>
          <w:tcPr/>
          <w:p>
            <w:pPr>
              <w:pStyle w:val="Compact"/>
            </w:pPr>
            <w:r>
              <w:t xml:space="preserve">FOD 교육 기록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/>
          <w:p>
            <w:pPr>
              <w:pStyle w:val="Compact"/>
            </w:pPr>
            <w:r>
              <w:t xml:space="preserve">FOD 기록 보관/관리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 및 서비스 안전 관리</w:t>
            </w:r>
          </w:p>
        </w:tc>
        <w:tc>
          <w:tcPr/>
          <w:p>
            <w:pPr>
              <w:pStyle w:val="Compact"/>
            </w:pPr>
            <w:r>
              <w:t xml:space="preserve">안전 핵심 항목의 FOD 관리 연계</w:t>
            </w:r>
          </w:p>
        </w:tc>
      </w:tr>
    </w:tbl>
    <w:bookmarkEnd w:id="58"/>
    <w:bookmarkStart w:id="59" w:name="관련-양식"/>
    <w:p>
      <w:pPr>
        <w:pStyle w:val="Heading2"/>
      </w:pPr>
      <w:r>
        <w:t xml:space="preserve">13.2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300"/>
        <w:gridCol w:w="264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F-816-01</w:t>
            </w:r>
          </w:p>
        </w:tc>
        <w:tc>
          <w:tcPr/>
          <w:p>
            <w:pPr>
              <w:pStyle w:val="Compact"/>
            </w:pPr>
            <w:r>
              <w:t xml:space="preserve">FOD 검사 기록서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Walk-down 결과, 공구/부품 수량 확인, FOD 발견 보고, 개구부 보호물 관리 기록</w:t>
            </w:r>
          </w:p>
        </w:tc>
      </w:tr>
    </w:tbl>
    <w:bookmarkEnd w:id="59"/>
    <w:bookmarkStart w:id="60" w:name="관련-지침서"/>
    <w:p>
      <w:pPr>
        <w:pStyle w:val="Heading2"/>
      </w:pPr>
      <w:r>
        <w:t xml:space="preserve">13.3 관련 지침서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300"/>
        <w:gridCol w:w="264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WI-804-01</w:t>
            </w:r>
          </w:p>
        </w:tc>
        <w:tc>
          <w:tcPr/>
          <w:p>
            <w:pPr>
              <w:pStyle w:val="Compact"/>
            </w:pPr>
            <w:r>
              <w:t xml:space="preserve">FOD 방지 작업 지침서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작업자용 상세 FOD 예방 활동 지침 (공구 관리, 청소 절차, 개구부 보호 등)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QP-819 Rev. 0</w:t>
      </w:r>
    </w:p>
    <w:bookmarkEnd w:id="60"/>
    <w:bookmarkEnd w:id="61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FOD 방지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FOD 방지 관리 절차서</w:t>
    </w:r>
    <w:r>
      <w:tab/>
    </w:r>
    <w:r>
      <w:rPr>
        <w:sz w:val="18"/>
      </w:rPr>
      <w:t>QP-819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FOD 방지 관리 절차서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QP-819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