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부적합품 격리 및 처리 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WI-811-01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부적합품 격리 및 처리 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2026-05-__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3c161200adb9b4e5e7c4630c8a4f55a160a8173">
        <w:r>
          <w:rPr>
            <w:rStyle w:val="Hyperlink"/>
          </w:rPr>
          <w:t xml:space="preserve">부적합품 식별 방법</w:t>
        </w:r>
      </w:hyperlink>
    </w:p>
    <w:p>
      <w:pPr>
        <w:pStyle w:val="Compact"/>
        <w:numPr>
          <w:ilvl w:val="0"/>
          <w:numId w:val="1001"/>
        </w:numPr>
      </w:pPr>
      <w:hyperlink w:anchor="X8d8757f47e330f523789d96826ccd0f6869bddc">
        <w:r>
          <w:rPr>
            <w:rStyle w:val="Hyperlink"/>
          </w:rPr>
          <w:t xml:space="preserve">격리 구역 설정 및 관리</w:t>
        </w:r>
      </w:hyperlink>
    </w:p>
    <w:p>
      <w:pPr>
        <w:pStyle w:val="Compact"/>
        <w:numPr>
          <w:ilvl w:val="0"/>
          <w:numId w:val="1001"/>
        </w:numPr>
      </w:pPr>
      <w:hyperlink w:anchor="X92f34e4b3c5be53a7c215066bf17a9d44bb6157">
        <w:r>
          <w:rPr>
            <w:rStyle w:val="Hyperlink"/>
          </w:rPr>
          <w:t xml:space="preserve">부적합 등급 분류</w:t>
        </w:r>
      </w:hyperlink>
    </w:p>
    <w:p>
      <w:pPr>
        <w:pStyle w:val="Compact"/>
        <w:numPr>
          <w:ilvl w:val="0"/>
          <w:numId w:val="1001"/>
        </w:numPr>
      </w:pPr>
      <w:hyperlink w:anchor="Xec8376f50be481d36101d342f003821d8e7553a">
        <w:r>
          <w:rPr>
            <w:rStyle w:val="Hyperlink"/>
          </w:rPr>
          <w:t xml:space="preserve">처분 방법 결정 흐름</w:t>
        </w:r>
      </w:hyperlink>
    </w:p>
    <w:p>
      <w:pPr>
        <w:pStyle w:val="Compact"/>
        <w:numPr>
          <w:ilvl w:val="0"/>
          <w:numId w:val="1001"/>
        </w:numPr>
      </w:pPr>
      <w:hyperlink w:anchor="X2b05bf94bb007903102a0a2e1264e57fec0124b">
        <w:r>
          <w:rPr>
            <w:rStyle w:val="Hyperlink"/>
          </w:rPr>
          <w:t xml:space="preserve">고객 승인 필요 항목</w:t>
        </w:r>
      </w:hyperlink>
    </w:p>
    <w:p>
      <w:pPr>
        <w:pStyle w:val="Compact"/>
        <w:numPr>
          <w:ilvl w:val="0"/>
          <w:numId w:val="1001"/>
        </w:numPr>
      </w:pPr>
      <w:hyperlink w:anchor="X2b85efc3db7d2f364c2a292a9c7909095043143">
        <w:r>
          <w:rPr>
            <w:rStyle w:val="Hyperlink"/>
          </w:rPr>
          <w:t xml:space="preserve">재작업 후 재검사 요건</w:t>
        </w:r>
      </w:hyperlink>
    </w:p>
    <w:p>
      <w:pPr>
        <w:pStyle w:val="Compact"/>
        <w:numPr>
          <w:ilvl w:val="0"/>
          <w:numId w:val="1001"/>
        </w:numPr>
      </w:pPr>
      <w:hyperlink w:anchor="Xa75d04a99dc2ea53bb389d00e3245ab15792db2">
        <w:r>
          <w:rPr>
            <w:rStyle w:val="Hyperlink"/>
          </w:rPr>
          <w:t xml:space="preserve">NCR 작성 방법</w:t>
        </w:r>
      </w:hyperlink>
    </w:p>
    <w:p>
      <w:pPr>
        <w:pStyle w:val="Compact"/>
        <w:numPr>
          <w:ilvl w:val="0"/>
          <w:numId w:val="1001"/>
        </w:numPr>
      </w:pPr>
      <w:hyperlink w:anchor="X03c6b7df1a2cb136c8234a4f480cc29f630eeb2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2a69377d41a7e23d6adc9066cb2cdc7e52d5da1">
        <w:r>
          <w:rPr>
            <w:rStyle w:val="Hyperlink"/>
          </w:rPr>
          <w:t xml:space="preserve">관련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지침서는 QP-818 (부적합 출력 관리 절차서)의 하위 문서로서, M&amp;C Electronics VINA에서 부적합으로 판정된 제품의 식별, 격리, 등급 분류, 처분 결정 및 재검사에 이르는 구체적인 실무 수행 방법을 규정한다.</w:t>
      </w:r>
    </w:p>
    <w:p>
      <w:pPr>
        <w:pStyle w:val="BodyText"/>
      </w:pPr>
      <w:r>
        <w:t xml:space="preserve">본 지침서의 주요 목적:</w:t>
      </w:r>
      <w:r>
        <w:t xml:space="preserve"> </w:t>
      </w:r>
      <w:r>
        <w:t xml:space="preserve">- 부적합품의 신속하고 정확한 식별로 의도하지 않은 사용/인도 방지</w:t>
      </w:r>
      <w:r>
        <w:t xml:space="preserve"> </w:t>
      </w:r>
      <w:r>
        <w:t xml:space="preserve">- 물리적 격리를 통한 적합품과의 혼입 방지</w:t>
      </w:r>
      <w:r>
        <w:t xml:space="preserve"> </w:t>
      </w:r>
      <w:r>
        <w:t xml:space="preserve">- 체계적인 등급 분류에 따른 적정 처분 결정</w:t>
      </w:r>
      <w:r>
        <w:t xml:space="preserve"> </w:t>
      </w:r>
      <w:r>
        <w:t xml:space="preserve">- 항공우주 규격에 부합하는 부적합품 관리 체계 확보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지침서는 M&amp;C Electronics VINA의 모든 생산/검사 공정에서 발생하는 부적합품에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 부적합</w:t>
            </w:r>
          </w:p>
        </w:tc>
        <w:tc>
          <w:tcPr/>
          <w:p>
            <w:pPr>
              <w:pStyle w:val="Compact"/>
            </w:pPr>
            <w:r>
              <w:t xml:space="preserve">원자재, 구매품, 외주 가공품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 불합격 판정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공정검사 부적합</w:t>
            </w:r>
          </w:p>
        </w:tc>
        <w:tc>
          <w:tcPr/>
          <w:p>
            <w:pPr>
              <w:pStyle w:val="Compact"/>
            </w:pPr>
            <w:r>
              <w:t xml:space="preserve">재공품, 중간 산출물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중 부적합 발견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최종검사 부적합</w:t>
            </w:r>
          </w:p>
        </w:tc>
        <w:tc>
          <w:tcPr/>
          <w:p>
            <w:pPr>
              <w:pStyle w:val="Compact"/>
            </w:pPr>
            <w:r>
              <w:t xml:space="preserve">완제품</w:t>
            </w:r>
          </w:p>
        </w:tc>
        <w:tc>
          <w:tcPr/>
          <w:p>
            <w:pPr>
              <w:pStyle w:val="Compact"/>
            </w:pPr>
            <w:r>
              <w:t xml:space="preserve">최종 출하검사 불합격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반품</w:t>
            </w:r>
          </w:p>
        </w:tc>
        <w:tc>
          <w:tcPr/>
          <w:p>
            <w:pPr>
              <w:pStyle w:val="Compact"/>
            </w:pPr>
            <w:r>
              <w:t xml:space="preserve">출하 후 반환 제품</w:t>
            </w:r>
          </w:p>
        </w:tc>
        <w:tc>
          <w:tcPr/>
          <w:p>
            <w:pPr>
              <w:pStyle w:val="Compact"/>
            </w:pPr>
            <w:r>
              <w:t xml:space="preserve">고객 불만/클레임 발생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의심품</w:t>
            </w:r>
          </w:p>
        </w:tc>
        <w:tc>
          <w:tcPr/>
          <w:p>
            <w:pPr>
              <w:pStyle w:val="Compact"/>
            </w:pPr>
            <w:r>
              <w:t xml:space="preserve">적합 여부 불확실한 품목</w:t>
            </w:r>
          </w:p>
        </w:tc>
        <w:tc>
          <w:tcPr/>
          <w:p>
            <w:pPr>
              <w:pStyle w:val="Compact"/>
            </w:pPr>
            <w:r>
              <w:t xml:space="preserve">검증 완료까지 부적합 동일 처리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제외</w:t>
      </w:r>
      <w:r>
        <w:t xml:space="preserve">: 시스템/프로세스 부적합은 QP-1001 (부적합/시정조치 관리)에서 관리한다.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(8.7항)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출력 관리 절차서 (상위 문서)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부적합/시정조치 관리 절차서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AS6081</w:t>
            </w:r>
          </w:p>
        </w:tc>
        <w:tc>
          <w:tcPr/>
          <w:p>
            <w:pPr>
              <w:pStyle w:val="Compact"/>
            </w:pPr>
            <w:r>
              <w:t xml:space="preserve">위조 전자 부품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AS6174</w:t>
            </w:r>
          </w:p>
        </w:tc>
        <w:tc>
          <w:tcPr/>
          <w:p>
            <w:pPr>
              <w:pStyle w:val="Compact"/>
            </w:pPr>
            <w:r>
              <w:t xml:space="preserve">위조 부품 보고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F-807-01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보고서(NCR) 양식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부적합(Nonconformity)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규정된 요구사항을 충족하지 못하는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 (Nonconformance Report)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보고서, 부적합 사항의 내용과 처분을 기록하는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격리(Segregation)</w:t>
            </w:r>
          </w:p>
        </w:tc>
        <w:tc>
          <w:tcPr/>
          <w:p>
            <w:pPr>
              <w:pStyle w:val="Compact"/>
            </w:pPr>
            <w:r>
              <w:t xml:space="preserve">부적합품을 적합품과 물리적으로 분리하여 보관하는 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특채(Concession)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규정 요구사항을 충족하지 못한 제품의 사용/인도를 고객이 승인하는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재작업(Rework)</w:t>
            </w:r>
          </w:p>
        </w:tc>
        <w:tc>
          <w:tcPr/>
          <w:p>
            <w:pPr>
              <w:pStyle w:val="Compact"/>
            </w:pPr>
            <w:r>
              <w:t xml:space="preserve">부적합 제품을 원래 요구사항에 적합하도록 수정하는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수리(Repair)</w:t>
            </w:r>
          </w:p>
        </w:tc>
        <w:tc>
          <w:tcPr/>
          <w:p>
            <w:pPr>
              <w:pStyle w:val="Compact"/>
            </w:pPr>
            <w:r>
              <w:t xml:space="preserve">부적합 제품을 의도된 용도에 사용 가능하도록 수정하되, 원래 요구사항을 완전히 충족하지 않을 수 있는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Use-As-Is</w:t>
            </w:r>
          </w:p>
        </w:tc>
        <w:tc>
          <w:tcPr/>
          <w:p>
            <w:pPr>
              <w:pStyle w:val="Compact"/>
            </w:pPr>
            <w:r>
              <w:t xml:space="preserve">부적합 상태 그대로 사용/인도를 승인하는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MRB</w:t>
            </w:r>
          </w:p>
        </w:tc>
        <w:tc>
          <w:tcPr/>
          <w:p>
            <w:pPr>
              <w:pStyle w:val="Compact"/>
            </w:pPr>
            <w:r>
              <w:t xml:space="preserve">자재심의위원회 (Material Review 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의심품(Suspect Part)</w:t>
            </w:r>
          </w:p>
        </w:tc>
        <w:tc>
          <w:tcPr/>
          <w:p>
            <w:pPr>
              <w:pStyle w:val="Compact"/>
            </w:pPr>
            <w:r>
              <w:t xml:space="preserve">적합 여부가 확인되지 않은 품목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위조부품(Counterfeit Part)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출처, 소재, 규격 등이 고의로 허위 표시된 부품</w:t>
            </w:r>
          </w:p>
        </w:tc>
      </w:tr>
    </w:tbl>
    <w:bookmarkEnd w:id="17"/>
    <w:bookmarkStart w:id="22" w:name="부적합품-식별-방법"/>
    <w:p>
      <w:pPr>
        <w:pStyle w:val="Heading1"/>
      </w:pPr>
      <w:r>
        <w:t xml:space="preserve">5. 부적합품 식별 방법</w:t>
      </w:r>
    </w:p>
    <w:bookmarkStart w:id="18" w:name="식별-수단-개요"/>
    <w:p>
      <w:pPr>
        <w:pStyle w:val="Heading2"/>
      </w:pPr>
      <w:r>
        <w:t xml:space="preserve">5.1 식별 수단 개요</w:t>
      </w:r>
    </w:p>
    <w:p>
      <w:pPr>
        <w:pStyle w:val="FirstParagraph"/>
      </w:pPr>
      <w:r>
        <w:t xml:space="preserve">부적합품은 발견 즉시 다음 3가지 수단 중 하나 이상을 사용하여 식별한다.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3046"/>
        <w:gridCol w:w="18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식별 수단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적색 태그 (Red Tag)</w:t>
            </w:r>
          </w:p>
        </w:tc>
        <w:tc>
          <w:tcPr/>
          <w:p>
            <w:pPr>
              <w:pStyle w:val="Compact"/>
            </w:pPr>
            <w:r>
              <w:t xml:space="preserve">개별 부품, 소형 제품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80mm × 120mm, 적색 바탕, 백색 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적색 라벨 (Red Label)</w:t>
            </w:r>
          </w:p>
        </w:tc>
        <w:tc>
          <w:tcPr/>
          <w:p>
            <w:pPr>
              <w:pStyle w:val="Compact"/>
            </w:pPr>
            <w:r>
              <w:t xml:space="preserve">포장 단위, 파레트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50mm × 100mm, 적색 접착 라벨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적색 마킹 (Red Marking)</w:t>
            </w:r>
          </w:p>
        </w:tc>
        <w:tc>
          <w:tcPr/>
          <w:p>
            <w:pPr>
              <w:pStyle w:val="Compact"/>
            </w:pPr>
            <w:r>
              <w:t xml:space="preserve">대형 부품, 마킹 가능 소재</w:t>
            </w:r>
          </w:p>
        </w:tc>
        <w:tc>
          <w:tcPr/>
          <w:p>
            <w:pPr>
              <w:pStyle w:val="Compact"/>
            </w:pPr>
            <w:r>
              <w:t xml:space="preserve">적색 페인트 또는 적색 유성 마커</w:t>
            </w:r>
          </w:p>
        </w:tc>
      </w:tr>
    </w:tbl>
    <w:bookmarkEnd w:id="18"/>
    <w:bookmarkStart w:id="19" w:name="적색-태그-red-tag-부착-방법"/>
    <w:p>
      <w:pPr>
        <w:pStyle w:val="Heading2"/>
      </w:pPr>
      <w:r>
        <w:t xml:space="preserve">5.2 적색 태그 (Red Tag) 부착 방법</w:t>
      </w:r>
    </w:p>
    <w:p>
      <w:pPr>
        <w:pStyle w:val="Compact"/>
        <w:numPr>
          <w:ilvl w:val="0"/>
          <w:numId w:val="1002"/>
        </w:numPr>
      </w:pPr>
      <w:r>
        <w:t xml:space="preserve">부적합 판정 즉시 적색 태그를 해당 품목에 부착한다.</w:t>
      </w:r>
    </w:p>
    <w:p>
      <w:pPr>
        <w:pStyle w:val="Compact"/>
        <w:numPr>
          <w:ilvl w:val="0"/>
          <w:numId w:val="1002"/>
        </w:numPr>
      </w:pPr>
      <w:r>
        <w:t xml:space="preserve">적색 태그에 다음 정보를 기재한다:</w:t>
      </w:r>
    </w:p>
    <w:p>
      <w:pPr>
        <w:pStyle w:val="Compact"/>
        <w:numPr>
          <w:ilvl w:val="1"/>
          <w:numId w:val="1003"/>
        </w:numPr>
      </w:pPr>
      <w:r>
        <w:t xml:space="preserve">NCR 번호 (부여 전이면</w:t>
      </w:r>
      <w:r>
        <w:t xml:space="preserve"> </w:t>
      </w:r>
      <w:r>
        <w:t xml:space="preserve">“NCR 미부여”</w:t>
      </w:r>
      <w:r>
        <w:t xml:space="preserve"> </w:t>
      </w:r>
      <w:r>
        <w:t xml:space="preserve">기재)</w:t>
      </w:r>
    </w:p>
    <w:p>
      <w:pPr>
        <w:pStyle w:val="Compact"/>
        <w:numPr>
          <w:ilvl w:val="1"/>
          <w:numId w:val="1003"/>
        </w:numPr>
      </w:pPr>
      <w:r>
        <w:t xml:space="preserve">품명/품번</w:t>
      </w:r>
    </w:p>
    <w:p>
      <w:pPr>
        <w:pStyle w:val="Compact"/>
        <w:numPr>
          <w:ilvl w:val="1"/>
          <w:numId w:val="1003"/>
        </w:numPr>
      </w:pPr>
      <w:r>
        <w:t xml:space="preserve">로트 번호 또는 일련번호</w:t>
      </w:r>
    </w:p>
    <w:p>
      <w:pPr>
        <w:pStyle w:val="Compact"/>
        <w:numPr>
          <w:ilvl w:val="1"/>
          <w:numId w:val="1003"/>
        </w:numPr>
      </w:pPr>
      <w:r>
        <w:t xml:space="preserve">부적합 내용 (간략 기술)</w:t>
      </w:r>
    </w:p>
    <w:p>
      <w:pPr>
        <w:pStyle w:val="Compact"/>
        <w:numPr>
          <w:ilvl w:val="1"/>
          <w:numId w:val="1003"/>
        </w:numPr>
      </w:pPr>
      <w:r>
        <w:t xml:space="preserve">발견 일자</w:t>
      </w:r>
    </w:p>
    <w:p>
      <w:pPr>
        <w:pStyle w:val="Compact"/>
        <w:numPr>
          <w:ilvl w:val="1"/>
          <w:numId w:val="1003"/>
        </w:numPr>
      </w:pPr>
      <w:r>
        <w:t xml:space="preserve">발견자 성명</w:t>
      </w:r>
    </w:p>
    <w:p>
      <w:pPr>
        <w:pStyle w:val="Compact"/>
        <w:numPr>
          <w:ilvl w:val="1"/>
          <w:numId w:val="1003"/>
        </w:numPr>
      </w:pPr>
      <w:r>
        <w:t xml:space="preserve">수량</w:t>
      </w:r>
    </w:p>
    <w:p>
      <w:pPr>
        <w:pStyle w:val="Compact"/>
        <w:numPr>
          <w:ilvl w:val="0"/>
          <w:numId w:val="1002"/>
        </w:numPr>
      </w:pPr>
      <w:r>
        <w:t xml:space="preserve">태그는 케이블 타이 또는 끈으로 제품에 직접 결속한다.</w:t>
      </w:r>
    </w:p>
    <w:p>
      <w:pPr>
        <w:pStyle w:val="Compact"/>
        <w:numPr>
          <w:ilvl w:val="0"/>
          <w:numId w:val="1002"/>
        </w:numPr>
      </w:pPr>
      <w:r>
        <w:t xml:space="preserve">태그가 탈락되지 않도록 견고하게 결속하되, 제품 손상이 없도록 주의한다.</w:t>
      </w:r>
    </w:p>
    <w:bookmarkEnd w:id="19"/>
    <w:bookmarkStart w:id="20" w:name="적색-라벨-red-label-부착-방법"/>
    <w:p>
      <w:pPr>
        <w:pStyle w:val="Heading2"/>
      </w:pPr>
      <w:r>
        <w:t xml:space="preserve">5.3 적색 라벨 (Red Label) 부착 방법</w:t>
      </w:r>
    </w:p>
    <w:p>
      <w:pPr>
        <w:pStyle w:val="Compact"/>
        <w:numPr>
          <w:ilvl w:val="0"/>
          <w:numId w:val="1004"/>
        </w:numPr>
      </w:pPr>
      <w:r>
        <w:t xml:space="preserve">포장 단위 또는 파레트 단위 부적합품에 적색 라벨을 부착한다.</w:t>
      </w:r>
    </w:p>
    <w:p>
      <w:pPr>
        <w:pStyle w:val="Compact"/>
        <w:numPr>
          <w:ilvl w:val="0"/>
          <w:numId w:val="1004"/>
        </w:numPr>
      </w:pPr>
      <w:r>
        <w:t xml:space="preserve">라벨에 NCR 번호, 품명, 수량, 발견 일자를 기재한다.</w:t>
      </w:r>
    </w:p>
    <w:p>
      <w:pPr>
        <w:pStyle w:val="Compact"/>
        <w:numPr>
          <w:ilvl w:val="0"/>
          <w:numId w:val="1004"/>
        </w:numPr>
      </w:pPr>
      <w:r>
        <w:t xml:space="preserve">라벨은 포장 외면의 잘 보이는 위치에 부착한다.</w:t>
      </w:r>
    </w:p>
    <w:p>
      <w:pPr>
        <w:pStyle w:val="Compact"/>
        <w:numPr>
          <w:ilvl w:val="0"/>
          <w:numId w:val="1004"/>
        </w:numPr>
      </w:pPr>
      <w:r>
        <w:t xml:space="preserve">개봉 시 훼손되지 않는 위치를 선택한다.</w:t>
      </w:r>
    </w:p>
    <w:bookmarkEnd w:id="20"/>
    <w:bookmarkStart w:id="21" w:name="적색-마킹-red-marking-방법"/>
    <w:p>
      <w:pPr>
        <w:pStyle w:val="Heading2"/>
      </w:pPr>
      <w:r>
        <w:t xml:space="preserve">5.4 적색 마킹 (Red Marking) 방법</w:t>
      </w:r>
    </w:p>
    <w:p>
      <w:pPr>
        <w:pStyle w:val="Compact"/>
        <w:numPr>
          <w:ilvl w:val="0"/>
          <w:numId w:val="1005"/>
        </w:numPr>
      </w:pPr>
      <w:r>
        <w:t xml:space="preserve">태그/라벨 부착이 불가능한 대형 부품에 적용한다.</w:t>
      </w:r>
    </w:p>
    <w:p>
      <w:pPr>
        <w:pStyle w:val="Compact"/>
        <w:numPr>
          <w:ilvl w:val="0"/>
          <w:numId w:val="1005"/>
        </w:numPr>
      </w:pPr>
      <w:r>
        <w:t xml:space="preserve">고객 도면에서 마킹 허용 구역을 확인한 후 해당 구역에만 마킹한다.</w:t>
      </w:r>
    </w:p>
    <w:p>
      <w:pPr>
        <w:pStyle w:val="Compact"/>
        <w:numPr>
          <w:ilvl w:val="0"/>
          <w:numId w:val="1005"/>
        </w:numPr>
      </w:pPr>
      <w:r>
        <w:t xml:space="preserve">마킹 내용:</w:t>
      </w:r>
      <w:r>
        <w:t xml:space="preserve"> </w:t>
      </w:r>
      <w:r>
        <w:t xml:space="preserve">“NC”</w:t>
      </w:r>
      <w:r>
        <w:t xml:space="preserve"> </w:t>
      </w:r>
      <w:r>
        <w:t xml:space="preserve">문자 + NCR 번호</w:t>
      </w:r>
    </w:p>
    <w:p>
      <w:pPr>
        <w:pStyle w:val="Compact"/>
        <w:numPr>
          <w:ilvl w:val="0"/>
          <w:numId w:val="1005"/>
        </w:numPr>
      </w:pPr>
      <w:r>
        <w:t xml:space="preserve">마킹은 제품 기능에 영향을 주지 않는 위치에 한다.</w:t>
      </w:r>
    </w:p>
    <w:p>
      <w:pPr>
        <w:pStyle w:val="Compact"/>
        <w:numPr>
          <w:ilvl w:val="0"/>
          <w:numId w:val="1005"/>
        </w:numPr>
      </w:pPr>
      <w:r>
        <w:t xml:space="preserve">처분 후 재작업 시 마킹 제거 가능 여부를 사전 확인한다.</w:t>
      </w:r>
    </w:p>
    <w:bookmarkEnd w:id="21"/>
    <w:bookmarkEnd w:id="22"/>
    <w:bookmarkStart w:id="26" w:name="격리-구역-설정-및-관리"/>
    <w:p>
      <w:pPr>
        <w:pStyle w:val="Heading1"/>
      </w:pPr>
      <w:r>
        <w:t xml:space="preserve">6. 격리 구역 설정 및 관리</w:t>
      </w:r>
    </w:p>
    <w:bookmarkStart w:id="23" w:name="격리-구역-지정"/>
    <w:p>
      <w:pPr>
        <w:pStyle w:val="Heading2"/>
      </w:pPr>
      <w:r>
        <w:t xml:space="preserve">6.1 격리 구역 지정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 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격리 구역 (Main Hold Area)</w:t>
            </w:r>
          </w:p>
        </w:tc>
        <w:tc>
          <w:tcPr/>
          <w:p>
            <w:pPr>
              <w:pStyle w:val="Compact"/>
            </w:pPr>
            <w:r>
              <w:t xml:space="preserve">품질검사실 인접, 지정 보관대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임시 격리 구역</w:t>
            </w:r>
          </w:p>
        </w:tc>
        <w:tc>
          <w:tcPr/>
          <w:p>
            <w:pPr>
              <w:pStyle w:val="Compact"/>
            </w:pPr>
            <w:r>
              <w:t xml:space="preserve">각 생산라인 끝단 적색 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라인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 격리 구역</w:t>
            </w:r>
          </w:p>
        </w:tc>
        <w:tc>
          <w:tcPr/>
          <w:p>
            <w:pPr>
              <w:pStyle w:val="Compact"/>
            </w:pPr>
            <w:r>
              <w:t xml:space="preserve">수입검사장 내 지정 구역</w:t>
            </w:r>
          </w:p>
        </w:tc>
        <w:tc>
          <w:tcPr/>
          <w:p>
            <w:pPr>
              <w:pStyle w:val="Compact"/>
            </w:pPr>
            <w:r>
              <w:t xml:space="preserve">수입검사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반품 격리 구역</w:t>
            </w:r>
          </w:p>
        </w:tc>
        <w:tc>
          <w:tcPr/>
          <w:p>
            <w:pPr>
              <w:pStyle w:val="Compact"/>
            </w:pPr>
            <w:r>
              <w:t xml:space="preserve">자재창고 내 별도 구역</w:t>
            </w:r>
          </w:p>
        </w:tc>
        <w:tc>
          <w:tcPr/>
          <w:p>
            <w:pPr>
              <w:pStyle w:val="Compact"/>
            </w:pPr>
            <w:r>
              <w:t xml:space="preserve">자재관리 담당자</w:t>
            </w:r>
          </w:p>
        </w:tc>
      </w:tr>
    </w:tbl>
    <w:bookmarkEnd w:id="23"/>
    <w:bookmarkStart w:id="24" w:name="격리-구역-설치-기준"/>
    <w:p>
      <w:pPr>
        <w:pStyle w:val="Heading2"/>
      </w:pPr>
      <w:r>
        <w:t xml:space="preserve">6.2 격리 구역 설치 기준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바닥 표시</w:t>
      </w:r>
      <w:r>
        <w:t xml:space="preserve">: 적색 테이프 또는 적색 페인트로 구역 경계를 명확히 표시한다.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표지판</w:t>
      </w:r>
      <w:r>
        <w:t xml:space="preserve">:</w:t>
      </w:r>
      <w:r>
        <w:t xml:space="preserve"> </w:t>
      </w:r>
      <w:r>
        <w:t xml:space="preserve">“부적합품 격리 구역 / NONCONFORMING PRODUCT HOLD AREA”</w:t>
      </w:r>
      <w:r>
        <w:t xml:space="preserve"> </w:t>
      </w:r>
      <w:r>
        <w:t xml:space="preserve">표지판을 구역 상단에 부착한다.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잠금장치</w:t>
      </w:r>
      <w:r>
        <w:t xml:space="preserve">: 주 격리 구역에는 잠금장치를 설치하고, 열쇠는 품질팀장이 관리한다.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접근 제한</w:t>
      </w:r>
      <w:r>
        <w:t xml:space="preserve">: 격리 구역 출입은 품질팀 승인 인원만 가능하다.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CCTV</w:t>
      </w:r>
      <w:r>
        <w:t xml:space="preserve">: 주 격리 구역에 CCTV를 설치하여 부적합품 무단 이동을 방지한다.</w:t>
      </w:r>
    </w:p>
    <w:bookmarkEnd w:id="24"/>
    <w:bookmarkStart w:id="25" w:name="격리-구역-관리-규정"/>
    <w:p>
      <w:pPr>
        <w:pStyle w:val="Heading2"/>
      </w:pPr>
      <w:r>
        <w:t xml:space="preserve">6.3 격리 구역 관리 규정</w:t>
      </w:r>
    </w:p>
    <w:p>
      <w:pPr>
        <w:pStyle w:val="Compact"/>
        <w:numPr>
          <w:ilvl w:val="0"/>
          <w:numId w:val="1007"/>
        </w:numPr>
      </w:pPr>
      <w:r>
        <w:t xml:space="preserve">격리 구역 내 부적합품은 NCR 번호순으로 정리 보관한다.</w:t>
      </w:r>
    </w:p>
    <w:p>
      <w:pPr>
        <w:pStyle w:val="Compact"/>
        <w:numPr>
          <w:ilvl w:val="0"/>
          <w:numId w:val="1007"/>
        </w:numPr>
      </w:pPr>
      <w:r>
        <w:t xml:space="preserve">격리 구역 입출고 대장을 비치하고, 입출고 시 기록한다.</w:t>
      </w:r>
    </w:p>
    <w:p>
      <w:pPr>
        <w:pStyle w:val="Compact"/>
        <w:numPr>
          <w:ilvl w:val="0"/>
          <w:numId w:val="1007"/>
        </w:numPr>
      </w:pPr>
      <w:r>
        <w:t xml:space="preserve">격리 구역 관리 담당자는 매주 1회 재고 현황을 점검한다.</w:t>
      </w:r>
    </w:p>
    <w:p>
      <w:pPr>
        <w:pStyle w:val="Compact"/>
        <w:numPr>
          <w:ilvl w:val="0"/>
          <w:numId w:val="1007"/>
        </w:numPr>
      </w:pPr>
      <w:r>
        <w:t xml:space="preserve">30일 이상 체류하는 부적합품은 품질팀장에게 보고하고, 처분 촉진 조치를 취한다.</w:t>
      </w:r>
    </w:p>
    <w:p>
      <w:pPr>
        <w:pStyle w:val="Compact"/>
        <w:numPr>
          <w:ilvl w:val="0"/>
          <w:numId w:val="1007"/>
        </w:numPr>
      </w:pPr>
      <w:r>
        <w:t xml:space="preserve">격리 구역의 환경 조건(온도, 습도)은 제품 보존 요건을 충족해야 한다.</w:t>
      </w:r>
    </w:p>
    <w:bookmarkEnd w:id="25"/>
    <w:bookmarkEnd w:id="26"/>
    <w:bookmarkStart w:id="29" w:name="부적합-등급-분류"/>
    <w:p>
      <w:pPr>
        <w:pStyle w:val="Heading1"/>
      </w:pPr>
      <w:r>
        <w:t xml:space="preserve">7. 부적합 등급 분류</w:t>
      </w:r>
    </w:p>
    <w:bookmarkStart w:id="27" w:name="등급-분류-기준"/>
    <w:p>
      <w:pPr>
        <w:pStyle w:val="Heading2"/>
      </w:pPr>
      <w:r>
        <w:t xml:space="preserve">7.1 등급 분류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처분 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안전성 또는 적합성에 직접 영향을 미치는 부적합</w:t>
            </w:r>
          </w:p>
        </w:tc>
        <w:tc>
          <w:tcPr/>
          <w:p>
            <w:pPr>
              <w:pStyle w:val="Compact"/>
            </w:pPr>
            <w:r>
              <w:t xml:space="preserve">안전 관련 규격 불충족, 기능 상실, 구조적 결함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MRB + 고객 승인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제품 요구사항의 주요 항목 불충족</w:t>
            </w:r>
          </w:p>
        </w:tc>
        <w:tc>
          <w:tcPr/>
          <w:p>
            <w:pPr>
              <w:pStyle w:val="Compact"/>
            </w:pPr>
            <w:r>
              <w:t xml:space="preserve">치수 규격 초과, 재료 물성 미달, 외관 주요 결함</w:t>
            </w:r>
          </w:p>
        </w:tc>
        <w:tc>
          <w:tcPr/>
          <w:p>
            <w:pPr>
              <w:pStyle w:val="Compact"/>
            </w:pPr>
            <w:r>
              <w:t xml:space="preserve">MRB 또는 품질책임자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제품 기능에 경미한 영향</w:t>
            </w:r>
          </w:p>
        </w:tc>
        <w:tc>
          <w:tcPr/>
          <w:p>
            <w:pPr>
              <w:pStyle w:val="Compact"/>
            </w:pPr>
            <w:r>
              <w:t xml:space="preserve">외관 경미 결함, 보조 치수 경미 이탈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</w:tbl>
    <w:bookmarkEnd w:id="27"/>
    <w:bookmarkStart w:id="28" w:name="등급-판정-절차"/>
    <w:p>
      <w:pPr>
        <w:pStyle w:val="Heading2"/>
      </w:pPr>
      <w:r>
        <w:t xml:space="preserve">7.2 등급 판정 절차</w:t>
      </w:r>
    </w:p>
    <w:p>
      <w:pPr>
        <w:pStyle w:val="Compact"/>
        <w:numPr>
          <w:ilvl w:val="0"/>
          <w:numId w:val="1008"/>
        </w:numPr>
      </w:pPr>
      <w:r>
        <w:t xml:space="preserve">검사자가 부적합을 발견하면 초기 등급을 판정한다.</w:t>
      </w:r>
    </w:p>
    <w:p>
      <w:pPr>
        <w:pStyle w:val="Compact"/>
        <w:numPr>
          <w:ilvl w:val="0"/>
          <w:numId w:val="1008"/>
        </w:numPr>
      </w:pPr>
      <w:r>
        <w:t xml:space="preserve">품질팀 담당자가 초기 등급의 적절성을 검토한다.</w:t>
      </w:r>
    </w:p>
    <w:p>
      <w:pPr>
        <w:pStyle w:val="Compact"/>
        <w:numPr>
          <w:ilvl w:val="0"/>
          <w:numId w:val="1008"/>
        </w:numPr>
      </w:pPr>
      <w:r>
        <w:t xml:space="preserve">Critical 등급은 반드시 품질책임자(QMR)가 최종 확인한다.</w:t>
      </w:r>
    </w:p>
    <w:p>
      <w:pPr>
        <w:pStyle w:val="Compact"/>
        <w:numPr>
          <w:ilvl w:val="0"/>
          <w:numId w:val="1008"/>
        </w:numPr>
      </w:pPr>
      <w:r>
        <w:t xml:space="preserve">등급 판정이 어려운 경우 상위 등급으로 분류한다 (보수적 접근 원칙).</w:t>
      </w:r>
    </w:p>
    <w:p>
      <w:pPr>
        <w:pStyle w:val="Compact"/>
        <w:numPr>
          <w:ilvl w:val="0"/>
          <w:numId w:val="1008"/>
        </w:numPr>
      </w:pPr>
      <w:r>
        <w:t xml:space="preserve">등급은 NCR에 기록하고, 등급 변경 시 변경 사유를 명기한다.</w:t>
      </w:r>
    </w:p>
    <w:bookmarkEnd w:id="28"/>
    <w:bookmarkEnd w:id="29"/>
    <w:bookmarkStart w:id="33" w:name="처분-방법-결정-흐름"/>
    <w:p>
      <w:pPr>
        <w:pStyle w:val="Heading1"/>
      </w:pPr>
      <w:r>
        <w:t xml:space="preserve">8. 처분 방법 결정 흐름</w:t>
      </w:r>
    </w:p>
    <w:bookmarkStart w:id="30" w:name="처분-유형"/>
    <w:p>
      <w:pPr>
        <w:pStyle w:val="Heading2"/>
      </w:pPr>
      <w:r>
        <w:t xml:space="preserve">8.1 처분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처분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재작업 (Rework)</w:t>
            </w:r>
          </w:p>
        </w:tc>
        <w:tc>
          <w:tcPr/>
          <w:p>
            <w:pPr>
              <w:pStyle w:val="Compact"/>
            </w:pPr>
            <w:r>
              <w:t xml:space="preserve">원래 요구사항에 적합하도록 수정</w:t>
            </w:r>
          </w:p>
        </w:tc>
        <w:tc>
          <w:tcPr/>
          <w:p>
            <w:pPr>
              <w:pStyle w:val="Compact"/>
            </w:pPr>
            <w:r>
              <w:t xml:space="preserve">불요 (원 규격 복원)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 지시서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Use-As-Is</w:t>
            </w:r>
          </w:p>
        </w:tc>
        <w:tc>
          <w:tcPr/>
          <w:p>
            <w:pPr>
              <w:pStyle w:val="Compact"/>
            </w:pPr>
            <w:r>
              <w:t xml:space="preserve">부적합 상태로 사용 승인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특채 절차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수리 (Repair)</w:t>
            </w:r>
          </w:p>
        </w:tc>
        <w:tc>
          <w:tcPr/>
          <w:p>
            <w:pPr>
              <w:pStyle w:val="Compact"/>
            </w:pPr>
            <w:r>
              <w:t xml:space="preserve">사용 가능하나 원 규격 미충족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수리 방법 승인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특채 (Concession)</w:t>
            </w:r>
          </w:p>
        </w:tc>
        <w:tc>
          <w:tcPr/>
          <w:p>
            <w:pPr>
              <w:pStyle w:val="Compact"/>
            </w:pPr>
            <w:r>
              <w:t xml:space="preserve">규격 이탈 상태로 인도 승인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고객 서면 승인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폐기 (Scrap)</w:t>
            </w:r>
          </w:p>
        </w:tc>
        <w:tc>
          <w:tcPr/>
          <w:p>
            <w:pPr>
              <w:pStyle w:val="Compact"/>
            </w:pPr>
            <w:r>
              <w:t xml:space="preserve">사용 불가 판정, 파쇄/폐기</w:t>
            </w:r>
          </w:p>
        </w:tc>
        <w:tc>
          <w:tcPr/>
          <w:p>
            <w:pPr>
              <w:pStyle w:val="Compact"/>
            </w:pPr>
            <w:r>
              <w:t xml:space="preserve">불요</w:t>
            </w:r>
          </w:p>
        </w:tc>
        <w:tc>
          <w:tcPr/>
          <w:p>
            <w:pPr>
              <w:pStyle w:val="Compact"/>
            </w:pPr>
            <w:r>
              <w:t xml:space="preserve">폐기 기록 보존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반품 (Return to Supplier)</w:t>
            </w:r>
          </w:p>
        </w:tc>
        <w:tc>
          <w:tcPr/>
          <w:p>
            <w:pPr>
              <w:pStyle w:val="Compact"/>
            </w:pPr>
            <w:r>
              <w:t xml:space="preserve">공급업체로 반환</w:t>
            </w:r>
          </w:p>
        </w:tc>
        <w:tc>
          <w:tcPr/>
          <w:p>
            <w:pPr>
              <w:pStyle w:val="Compact"/>
            </w:pPr>
            <w:r>
              <w:t xml:space="preserve">불요</w:t>
            </w:r>
          </w:p>
        </w:tc>
        <w:tc>
          <w:tcPr/>
          <w:p>
            <w:pPr>
              <w:pStyle w:val="Compact"/>
            </w:pPr>
            <w:r>
              <w:t xml:space="preserve">공급업체 통보</w:t>
            </w:r>
          </w:p>
        </w:tc>
      </w:tr>
    </w:tbl>
    <w:bookmarkEnd w:id="30"/>
    <w:bookmarkStart w:id="31" w:name="처분-결정-흐름도"/>
    <w:p>
      <w:pPr>
        <w:pStyle w:val="Heading2"/>
      </w:pPr>
      <w:r>
        <w:t xml:space="preserve">8.2 처분 결정 흐름도</w:t>
      </w:r>
    </w:p>
    <w:p>
      <w:pPr>
        <w:pStyle w:val="SourceCode"/>
      </w:pPr>
      <w:r>
        <w:rPr>
          <w:rStyle w:val="VerbatimChar"/>
        </w:rPr>
        <w:t xml:space="preserve">부적합 발견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식별 및 격리 (적색 태그/라벨/마킹)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NCR 작성 (F-807-01)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등급 분류 (Critical / Major / Minor)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Critical ──→ MRB 소집 ──→ 처분 결정 ──→ 고객 승인 요청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Major ──→ MRB 또는 품질책임자 ──→ 처분 결정</w:t>
      </w:r>
      <w:r>
        <w:br/>
      </w:r>
      <w:r>
        <w:rPr>
          <w:rStyle w:val="VerbatimChar"/>
        </w:rPr>
        <w:t xml:space="preserve">    │                                      │</w:t>
      </w:r>
      <w:r>
        <w:br/>
      </w:r>
      <w:r>
        <w:rPr>
          <w:rStyle w:val="VerbatimChar"/>
        </w:rPr>
        <w:t xml:space="preserve">    │          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│                          ▼            ▼            ▼</w:t>
      </w:r>
      <w:r>
        <w:br/>
      </w:r>
      <w:r>
        <w:rPr>
          <w:rStyle w:val="VerbatimChar"/>
        </w:rPr>
        <w:t xml:space="preserve">    │                       재작업        수리/특채      폐기</w:t>
      </w:r>
      <w:r>
        <w:br/>
      </w:r>
      <w:r>
        <w:rPr>
          <w:rStyle w:val="VerbatimChar"/>
        </w:rPr>
        <w:t xml:space="preserve">    │                          │         (고객 승인)      │</w:t>
      </w:r>
      <w:r>
        <w:br/>
      </w:r>
      <w:r>
        <w:rPr>
          <w:rStyle w:val="VerbatimChar"/>
        </w:rPr>
        <w:t xml:space="preserve">    │                          ▼            │            ▼</w:t>
      </w:r>
      <w:r>
        <w:br/>
      </w:r>
      <w:r>
        <w:rPr>
          <w:rStyle w:val="VerbatimChar"/>
        </w:rPr>
        <w:t xml:space="preserve">    │                       재검사          ▼         폐기 기록</w:t>
      </w:r>
      <w:r>
        <w:br/>
      </w:r>
      <w:r>
        <w:rPr>
          <w:rStyle w:val="VerbatimChar"/>
        </w:rPr>
        <w:t xml:space="preserve">    │                          │        고객 승인</w:t>
      </w:r>
      <w:r>
        <w:br/>
      </w:r>
      <w:r>
        <w:rPr>
          <w:rStyle w:val="VerbatimChar"/>
        </w:rPr>
        <w:t xml:space="preserve">    │                          ▼            │</w:t>
      </w:r>
      <w:r>
        <w:br/>
      </w:r>
      <w:r>
        <w:rPr>
          <w:rStyle w:val="VerbatimChar"/>
        </w:rPr>
        <w:t xml:space="preserve">    │                       합격/불합격      ▼</w:t>
      </w:r>
      <w:r>
        <w:br/>
      </w:r>
      <w:r>
        <w:rPr>
          <w:rStyle w:val="VerbatimChar"/>
        </w:rPr>
        <w:t xml:space="preserve">    │                                    재검사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Minor ──→ 품질팀장 ──→ 처분 결정</w:t>
      </w:r>
    </w:p>
    <w:bookmarkEnd w:id="31"/>
    <w:bookmarkStart w:id="32" w:name="mrb-소집-기준"/>
    <w:p>
      <w:pPr>
        <w:pStyle w:val="Heading2"/>
      </w:pPr>
      <w:r>
        <w:t xml:space="preserve">8.3 MRB 소집 기준</w:t>
      </w:r>
    </w:p>
    <w:p>
      <w:pPr>
        <w:pStyle w:val="FirstParagraph"/>
      </w:pPr>
      <w:r>
        <w:t xml:space="preserve">다음 중 하나에 해당하면 MRB를 소집한다:</w:t>
      </w:r>
      <w:r>
        <w:t xml:space="preserve"> </w:t>
      </w:r>
      <w:r>
        <w:t xml:space="preserve">- Critical 등급 부적합</w:t>
      </w:r>
      <w:r>
        <w:t xml:space="preserve"> </w:t>
      </w:r>
      <w:r>
        <w:t xml:space="preserve">- Major 등급 중 안전/기능 영향 가능성 있는 건</w:t>
      </w:r>
      <w:r>
        <w:t xml:space="preserve"> </w:t>
      </w:r>
      <w:r>
        <w:t xml:space="preserve">- 동일 부적합이 3회 이상 반복 발생한 건</w:t>
      </w:r>
      <w:r>
        <w:t xml:space="preserve"> </w:t>
      </w:r>
      <w:r>
        <w:t xml:space="preserve">- 고객 특별 요구사항 관련 부적합</w:t>
      </w:r>
    </w:p>
    <w:bookmarkEnd w:id="32"/>
    <w:bookmarkEnd w:id="33"/>
    <w:bookmarkStart w:id="36" w:name="고객-승인-필요-항목"/>
    <w:p>
      <w:pPr>
        <w:pStyle w:val="Heading1"/>
      </w:pPr>
      <w:r>
        <w:t xml:space="preserve">9. 고객 승인 필요 항목</w:t>
      </w:r>
    </w:p>
    <w:bookmarkStart w:id="34" w:name="고객-사전-승인-필수-항목"/>
    <w:p>
      <w:pPr>
        <w:pStyle w:val="Heading2"/>
      </w:pPr>
      <w:r>
        <w:t xml:space="preserve">9.1 고객 사전 승인 필수 항목</w:t>
      </w:r>
    </w:p>
    <w:p>
      <w:pPr>
        <w:pStyle w:val="FirstParagraph"/>
      </w:pPr>
      <w:r>
        <w:t xml:space="preserve">다음 처분은 반드시 실행 전 고객의 서면 승인을 받아야 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요건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제출 서류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 (Concession)</w:t>
            </w:r>
          </w:p>
        </w:tc>
        <w:tc>
          <w:tcPr/>
          <w:p>
            <w:pPr>
              <w:pStyle w:val="Compact"/>
            </w:pPr>
            <w:r>
              <w:t xml:space="preserve">고객 서면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NCR, 부적합 상세, 영향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수리 (Repair)</w:t>
            </w:r>
          </w:p>
        </w:tc>
        <w:tc>
          <w:tcPr/>
          <w:p>
            <w:pPr>
              <w:pStyle w:val="Compact"/>
            </w:pPr>
            <w:r>
              <w:t xml:space="preserve">고객 서면 승인 + 수리 방법 승인</w:t>
            </w:r>
          </w:p>
        </w:tc>
        <w:tc>
          <w:tcPr/>
          <w:p>
            <w:pPr>
              <w:pStyle w:val="Compact"/>
            </w:pPr>
            <w:r>
              <w:t xml:space="preserve">NCR, 수리 절차서, 재검사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Use-As-Is</w:t>
            </w:r>
          </w:p>
        </w:tc>
        <w:tc>
          <w:tcPr/>
          <w:p>
            <w:pPr>
              <w:pStyle w:val="Compact"/>
            </w:pPr>
            <w:r>
              <w:t xml:space="preserve">고객 서면 승인</w:t>
            </w:r>
          </w:p>
        </w:tc>
        <w:tc>
          <w:tcPr/>
          <w:p>
            <w:pPr>
              <w:pStyle w:val="Compact"/>
            </w:pPr>
            <w:r>
              <w:t xml:space="preserve">NCR, 기능 영향 분석, 안전성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변경 수반 처분</w:t>
            </w:r>
          </w:p>
        </w:tc>
        <w:tc>
          <w:tcPr/>
          <w:p>
            <w:pPr>
              <w:pStyle w:val="Compact"/>
            </w:pPr>
            <w:r>
              <w:t xml:space="preserve">고객 + 설계 권한자 승인</w:t>
            </w:r>
          </w:p>
        </w:tc>
        <w:tc>
          <w:tcPr/>
          <w:p>
            <w:pPr>
              <w:pStyle w:val="Compact"/>
            </w:pPr>
            <w:r>
              <w:t xml:space="preserve">ECN, NCR, 영향 분석</w:t>
            </w:r>
          </w:p>
        </w:tc>
      </w:tr>
    </w:tbl>
    <w:bookmarkEnd w:id="34"/>
    <w:bookmarkStart w:id="35" w:name="고객-승인-요청-절차"/>
    <w:p>
      <w:pPr>
        <w:pStyle w:val="Heading2"/>
      </w:pPr>
      <w:r>
        <w:t xml:space="preserve">9.2 고객 승인 요청 절차</w:t>
      </w:r>
    </w:p>
    <w:p>
      <w:pPr>
        <w:pStyle w:val="Compact"/>
        <w:numPr>
          <w:ilvl w:val="0"/>
          <w:numId w:val="1009"/>
        </w:numPr>
      </w:pPr>
      <w:r>
        <w:t xml:space="preserve">NCR에 처분 의견과 기술적 근거를 기재한다.</w:t>
      </w:r>
    </w:p>
    <w:p>
      <w:pPr>
        <w:pStyle w:val="Compact"/>
        <w:numPr>
          <w:ilvl w:val="0"/>
          <w:numId w:val="1009"/>
        </w:numPr>
      </w:pPr>
      <w:r>
        <w:t xml:space="preserve">품질책임자(QMR)가 승인 요청서를 작성한다.</w:t>
      </w:r>
    </w:p>
    <w:p>
      <w:pPr>
        <w:pStyle w:val="Compact"/>
        <w:numPr>
          <w:ilvl w:val="0"/>
          <w:numId w:val="1009"/>
        </w:numPr>
      </w:pPr>
      <w:r>
        <w:t xml:space="preserve">고객 품질 담당자에게 서면(이메일/공문)으로 승인을 요청한다.</w:t>
      </w:r>
    </w:p>
    <w:p>
      <w:pPr>
        <w:pStyle w:val="Compact"/>
        <w:numPr>
          <w:ilvl w:val="0"/>
          <w:numId w:val="1009"/>
        </w:numPr>
      </w:pPr>
      <w:r>
        <w:t xml:space="preserve">고객 승인 회신을 NCR에 첨부하여 보관한다.</w:t>
      </w:r>
    </w:p>
    <w:p>
      <w:pPr>
        <w:pStyle w:val="Compact"/>
        <w:numPr>
          <w:ilvl w:val="0"/>
          <w:numId w:val="1009"/>
        </w:numPr>
      </w:pPr>
      <w:r>
        <w:t xml:space="preserve">고객 미승인 시 대안 처분을 결정한다 (재작업 또는 폐기).</w:t>
      </w:r>
    </w:p>
    <w:bookmarkEnd w:id="35"/>
    <w:bookmarkEnd w:id="36"/>
    <w:bookmarkStart w:id="40" w:name="재작업-후-재검사-요건"/>
    <w:p>
      <w:pPr>
        <w:pStyle w:val="Heading1"/>
      </w:pPr>
      <w:r>
        <w:t xml:space="preserve">10. 재작업 후 재검사 요건</w:t>
      </w:r>
    </w:p>
    <w:bookmarkStart w:id="37" w:name="재작업-실시-요건"/>
    <w:p>
      <w:pPr>
        <w:pStyle w:val="Heading2"/>
      </w:pPr>
      <w:r>
        <w:t xml:space="preserve">10.1 재작업 실시 요건</w:t>
      </w:r>
    </w:p>
    <w:p>
      <w:pPr>
        <w:pStyle w:val="Compact"/>
        <w:numPr>
          <w:ilvl w:val="0"/>
          <w:numId w:val="1010"/>
        </w:numPr>
      </w:pPr>
      <w:r>
        <w:t xml:space="preserve">재작업 전 반드시 재작업 지시서를 작성하고 품질팀 승인을 받는다.</w:t>
      </w:r>
    </w:p>
    <w:p>
      <w:pPr>
        <w:pStyle w:val="Compact"/>
        <w:numPr>
          <w:ilvl w:val="0"/>
          <w:numId w:val="1010"/>
        </w:numPr>
      </w:pPr>
      <w:r>
        <w:t xml:space="preserve">재작업 지시서에는 다음을 포함한다:</w:t>
      </w:r>
    </w:p>
    <w:p>
      <w:pPr>
        <w:pStyle w:val="Compact"/>
        <w:numPr>
          <w:ilvl w:val="1"/>
          <w:numId w:val="1011"/>
        </w:numPr>
      </w:pPr>
      <w:r>
        <w:t xml:space="preserve">NCR 번호</w:t>
      </w:r>
    </w:p>
    <w:p>
      <w:pPr>
        <w:pStyle w:val="Compact"/>
        <w:numPr>
          <w:ilvl w:val="1"/>
          <w:numId w:val="1011"/>
        </w:numPr>
      </w:pPr>
      <w:r>
        <w:t xml:space="preserve">재작업 대상 품목 및 수량</w:t>
      </w:r>
    </w:p>
    <w:p>
      <w:pPr>
        <w:pStyle w:val="Compact"/>
        <w:numPr>
          <w:ilvl w:val="1"/>
          <w:numId w:val="1011"/>
        </w:numPr>
      </w:pPr>
      <w:r>
        <w:t xml:space="preserve">부적합 내용</w:t>
      </w:r>
    </w:p>
    <w:p>
      <w:pPr>
        <w:pStyle w:val="Compact"/>
        <w:numPr>
          <w:ilvl w:val="1"/>
          <w:numId w:val="1011"/>
        </w:numPr>
      </w:pPr>
      <w:r>
        <w:t xml:space="preserve">재작업 방법 (구체적 작업 절차)</w:t>
      </w:r>
    </w:p>
    <w:p>
      <w:pPr>
        <w:pStyle w:val="Compact"/>
        <w:numPr>
          <w:ilvl w:val="1"/>
          <w:numId w:val="1011"/>
        </w:numPr>
      </w:pPr>
      <w:r>
        <w:t xml:space="preserve">재작업 후 검사 항목 및 기준</w:t>
      </w:r>
    </w:p>
    <w:p>
      <w:pPr>
        <w:pStyle w:val="Compact"/>
        <w:numPr>
          <w:ilvl w:val="1"/>
          <w:numId w:val="1011"/>
        </w:numPr>
      </w:pPr>
      <w:r>
        <w:t xml:space="preserve">담당 작업자 및 검사자</w:t>
      </w:r>
    </w:p>
    <w:bookmarkEnd w:id="37"/>
    <w:bookmarkStart w:id="38" w:name="재검사-수행"/>
    <w:p>
      <w:pPr>
        <w:pStyle w:val="Heading2"/>
      </w:pPr>
      <w:r>
        <w:t xml:space="preserve">10.2 재검사 수행</w:t>
      </w:r>
    </w:p>
    <w:p>
      <w:pPr>
        <w:pStyle w:val="Compact"/>
        <w:numPr>
          <w:ilvl w:val="0"/>
          <w:numId w:val="1012"/>
        </w:numPr>
      </w:pPr>
      <w:r>
        <w:t xml:space="preserve">재작업 완료 후 원래 검사 항목 전체에 대해 재검사를 실시한다.</w:t>
      </w:r>
    </w:p>
    <w:p>
      <w:pPr>
        <w:pStyle w:val="Compact"/>
        <w:numPr>
          <w:ilvl w:val="0"/>
          <w:numId w:val="1012"/>
        </w:numPr>
      </w:pPr>
      <w:r>
        <w:t xml:space="preserve">재검사는 원래 검사를 수행한 검사자와 다른 인원이 수행하는 것을 원칙으로 한다.</w:t>
      </w:r>
    </w:p>
    <w:p>
      <w:pPr>
        <w:pStyle w:val="Compact"/>
        <w:numPr>
          <w:ilvl w:val="0"/>
          <w:numId w:val="1012"/>
        </w:numPr>
      </w:pPr>
      <w:r>
        <w:t xml:space="preserve">재검사 결과를 NCR의 재검사 란에 기록한다.</w:t>
      </w:r>
    </w:p>
    <w:p>
      <w:pPr>
        <w:pStyle w:val="Compact"/>
        <w:numPr>
          <w:ilvl w:val="0"/>
          <w:numId w:val="1012"/>
        </w:numPr>
      </w:pPr>
      <w:r>
        <w:t xml:space="preserve">재검사 합격 시 적색 태그/라벨/마킹을 제거하고, 격리 구역에서 반출한다.</w:t>
      </w:r>
    </w:p>
    <w:p>
      <w:pPr>
        <w:pStyle w:val="Compact"/>
        <w:numPr>
          <w:ilvl w:val="0"/>
          <w:numId w:val="1012"/>
        </w:numPr>
      </w:pPr>
      <w:r>
        <w:t xml:space="preserve">재검사 불합격 시 재차 NCR을 발행하거나 기존 NCR에 추가 기록하고, 처분을 재결정한다.</w:t>
      </w:r>
    </w:p>
    <w:bookmarkEnd w:id="38"/>
    <w:bookmarkStart w:id="39" w:name="재작업-횟수-제한"/>
    <w:p>
      <w:pPr>
        <w:pStyle w:val="Heading2"/>
      </w:pPr>
      <w:r>
        <w:t xml:space="preserve">10.3 재작업 횟수 제한</w:t>
      </w:r>
    </w:p>
    <w:p>
      <w:pPr>
        <w:pStyle w:val="Compact"/>
        <w:numPr>
          <w:ilvl w:val="0"/>
          <w:numId w:val="1013"/>
        </w:numPr>
      </w:pPr>
      <w:r>
        <w:t xml:space="preserve">동일 품목에 대한 재작업은 최대 2회까지 허용한다.</w:t>
      </w:r>
    </w:p>
    <w:p>
      <w:pPr>
        <w:pStyle w:val="Compact"/>
        <w:numPr>
          <w:ilvl w:val="0"/>
          <w:numId w:val="1013"/>
        </w:numPr>
      </w:pPr>
      <w:r>
        <w:t xml:space="preserve">2회 재작업 후에도 부적합인 경우 폐기 또는 MRB 재검토를 실시한다.</w:t>
      </w:r>
    </w:p>
    <w:p>
      <w:pPr>
        <w:pStyle w:val="Compact"/>
        <w:numPr>
          <w:ilvl w:val="0"/>
          <w:numId w:val="1013"/>
        </w:numPr>
      </w:pPr>
      <w:r>
        <w:t xml:space="preserve">고객이 재작업 횟수를 별도 규정한 경우 고객 요구를 우선 적용한다.</w:t>
      </w:r>
    </w:p>
    <w:bookmarkEnd w:id="39"/>
    <w:bookmarkEnd w:id="40"/>
    <w:bookmarkStart w:id="43" w:name="ncr-작성-방법"/>
    <w:p>
      <w:pPr>
        <w:pStyle w:val="Heading1"/>
      </w:pPr>
      <w:r>
        <w:t xml:space="preserve">11. NCR 작성 방법</w:t>
      </w:r>
    </w:p>
    <w:bookmarkStart w:id="41" w:name="ncrf-807-01-작성-항목"/>
    <w:p>
      <w:pPr>
        <w:pStyle w:val="Heading2"/>
      </w:pPr>
      <w:r>
        <w:t xml:space="preserve">11.1 NCR(F-807-01) 작성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기재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 번호</w:t>
            </w:r>
          </w:p>
        </w:tc>
        <w:tc>
          <w:tcPr/>
          <w:p>
            <w:pPr>
              <w:pStyle w:val="Compact"/>
            </w:pPr>
            <w:r>
              <w:t xml:space="preserve">연도-일련번호 (예: NCR-2026-001)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 일자</w:t>
            </w:r>
          </w:p>
        </w:tc>
        <w:tc>
          <w:tcPr/>
          <w:p>
            <w:pPr>
              <w:pStyle w:val="Compact"/>
            </w:pPr>
            <w:r>
              <w:t xml:space="preserve">부적합 발견 일시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 공정</w:t>
            </w:r>
          </w:p>
        </w:tc>
        <w:tc>
          <w:tcPr/>
          <w:p>
            <w:pPr>
              <w:pStyle w:val="Compact"/>
            </w:pPr>
            <w:r>
              <w:t xml:space="preserve">수입검사/공정검사/최종검사/고객반품</w:t>
            </w:r>
          </w:p>
        </w:tc>
        <w:tc>
          <w:tcPr/>
          <w:p>
            <w:pPr>
              <w:pStyle w:val="Compact"/>
            </w:pPr>
            <w:r>
              <w:t xml:space="preserve">발견자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품명/품번</w:t>
            </w:r>
          </w:p>
        </w:tc>
        <w:tc>
          <w:tcPr/>
          <w:p>
            <w:pPr>
              <w:pStyle w:val="Compact"/>
            </w:pPr>
            <w:r>
              <w:t xml:space="preserve">해당 제품 정보</w:t>
            </w:r>
          </w:p>
        </w:tc>
        <w:tc>
          <w:tcPr/>
          <w:p>
            <w:pPr>
              <w:pStyle w:val="Compact"/>
            </w:pPr>
            <w:r>
              <w:t xml:space="preserve">발견자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로트번호/일련번호</w:t>
            </w:r>
          </w:p>
        </w:tc>
        <w:tc>
          <w:tcPr/>
          <w:p>
            <w:pPr>
              <w:pStyle w:val="Compact"/>
            </w:pPr>
            <w:r>
              <w:t xml:space="preserve">추적성 확보용 식별 번호</w:t>
            </w:r>
          </w:p>
        </w:tc>
        <w:tc>
          <w:tcPr/>
          <w:p>
            <w:pPr>
              <w:pStyle w:val="Compact"/>
            </w:pPr>
            <w:r>
              <w:t xml:space="preserve">발견자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부적합 수량 / 검사 수량</w:t>
            </w:r>
          </w:p>
        </w:tc>
        <w:tc>
          <w:tcPr/>
          <w:p>
            <w:pPr>
              <w:pStyle w:val="Compact"/>
            </w:pPr>
            <w:r>
              <w:t xml:space="preserve">발견자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등급</w:t>
            </w:r>
          </w:p>
        </w:tc>
        <w:tc>
          <w:tcPr/>
          <w:p>
            <w:pPr>
              <w:pStyle w:val="Compact"/>
            </w:pPr>
            <w:r>
              <w:t xml:space="preserve">Critical / Major / Minor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내용</w:t>
            </w:r>
          </w:p>
        </w:tc>
        <w:tc>
          <w:tcPr/>
          <w:p>
            <w:pPr>
              <w:pStyle w:val="Compact"/>
            </w:pPr>
            <w:r>
              <w:t xml:space="preserve">객관적 사실에 기반한 부적합 기술</w:t>
            </w:r>
          </w:p>
        </w:tc>
        <w:tc>
          <w:tcPr/>
          <w:p>
            <w:pPr>
              <w:pStyle w:val="Compact"/>
            </w:pPr>
            <w:r>
              <w:t xml:space="preserve">발견자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규격/기준</w:t>
            </w:r>
          </w:p>
        </w:tc>
        <w:tc>
          <w:tcPr/>
          <w:p>
            <w:pPr>
              <w:pStyle w:val="Compact"/>
            </w:pPr>
            <w:r>
              <w:t xml:space="preserve">불충족한 규격 또는 도면 요구사항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처분 결정</w:t>
            </w:r>
          </w:p>
        </w:tc>
        <w:tc>
          <w:tcPr/>
          <w:p>
            <w:pPr>
              <w:pStyle w:val="Compact"/>
            </w:pPr>
            <w:r>
              <w:t xml:space="preserve">재작업/수리/특채/폐기/반품</w:t>
            </w:r>
          </w:p>
        </w:tc>
        <w:tc>
          <w:tcPr/>
          <w:p>
            <w:pPr>
              <w:pStyle w:val="Compact"/>
            </w:pPr>
            <w:r>
              <w:t xml:space="preserve">MRB/품질책임자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 여부</w:t>
            </w:r>
          </w:p>
        </w:tc>
        <w:tc>
          <w:tcPr/>
          <w:p>
            <w:pPr>
              <w:pStyle w:val="Compact"/>
            </w:pPr>
            <w:r>
              <w:t xml:space="preserve">해당 시 승인 문서번호 및 일자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재검사 결과</w:t>
            </w:r>
          </w:p>
        </w:tc>
        <w:tc>
          <w:tcPr/>
          <w:p>
            <w:pPr>
              <w:pStyle w:val="Compact"/>
            </w:pPr>
            <w:r>
              <w:t xml:space="preserve">합격/불합격, 검사 데이터</w:t>
            </w:r>
          </w:p>
        </w:tc>
        <w:tc>
          <w:tcPr/>
          <w:p>
            <w:pPr>
              <w:pStyle w:val="Compact"/>
            </w:pPr>
            <w:r>
              <w:t xml:space="preserve">검사자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연계</w:t>
            </w:r>
          </w:p>
        </w:tc>
        <w:tc>
          <w:tcPr/>
          <w:p>
            <w:pPr>
              <w:pStyle w:val="Compact"/>
            </w:pPr>
            <w:r>
              <w:t xml:space="preserve">CAR 번호 (해당 시)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End w:id="41"/>
    <w:bookmarkStart w:id="42" w:name="ncr-작성-시-주의사항"/>
    <w:p>
      <w:pPr>
        <w:pStyle w:val="Heading2"/>
      </w:pPr>
      <w:r>
        <w:t xml:space="preserve">11.2 NCR 작성 시 주의사항</w:t>
      </w:r>
    </w:p>
    <w:p>
      <w:pPr>
        <w:pStyle w:val="Compact"/>
        <w:numPr>
          <w:ilvl w:val="0"/>
          <w:numId w:val="1014"/>
        </w:numPr>
      </w:pPr>
      <w:r>
        <w:t xml:space="preserve">부적합 내용은 객관적 사실만 기술한다 (추측, 원인 분석은 별도 란에 기재).</w:t>
      </w:r>
    </w:p>
    <w:p>
      <w:pPr>
        <w:pStyle w:val="Compact"/>
        <w:numPr>
          <w:ilvl w:val="0"/>
          <w:numId w:val="1014"/>
        </w:numPr>
      </w:pPr>
      <w:r>
        <w:t xml:space="preserve">측정값이 있는 경우 실측값과 규격값을 함께 기재한다.</w:t>
      </w:r>
    </w:p>
    <w:p>
      <w:pPr>
        <w:pStyle w:val="Compact"/>
        <w:numPr>
          <w:ilvl w:val="0"/>
          <w:numId w:val="1014"/>
        </w:numPr>
      </w:pPr>
      <w:r>
        <w:t xml:space="preserve">가능한 경우 사진을 첨부한다.</w:t>
      </w:r>
    </w:p>
    <w:p>
      <w:pPr>
        <w:pStyle w:val="Compact"/>
        <w:numPr>
          <w:ilvl w:val="0"/>
          <w:numId w:val="1014"/>
        </w:numPr>
      </w:pPr>
      <w:r>
        <w:t xml:space="preserve">NCR은 발견 후 24시간 이내에 발행한다.</w:t>
      </w:r>
    </w:p>
    <w:p>
      <w:pPr>
        <w:pStyle w:val="Compact"/>
        <w:numPr>
          <w:ilvl w:val="0"/>
          <w:numId w:val="1014"/>
        </w:numPr>
      </w:pPr>
      <w:r>
        <w:t xml:space="preserve">Critical 등급 NCR은 발견 후 4시간 이내에 품질책임자에게 보고한다.</w:t>
      </w:r>
    </w:p>
    <w:bookmarkEnd w:id="42"/>
    <w:bookmarkEnd w:id="43"/>
    <w:bookmarkStart w:id="47" w:name="항공우주-특수-요구사항"/>
    <w:p>
      <w:pPr>
        <w:pStyle w:val="Heading1"/>
      </w:pPr>
      <w:r>
        <w:t xml:space="preserve">12. 항공우주 특수 요구사항</w:t>
      </w:r>
    </w:p>
    <w:bookmarkStart w:id="44" w:name="의심품-suspect-part-처리"/>
    <w:p>
      <w:pPr>
        <w:pStyle w:val="Heading2"/>
      </w:pPr>
      <w:r>
        <w:t xml:space="preserve">12.1 의심품 (Suspect Part) 처리</w:t>
      </w:r>
    </w:p>
    <w:p>
      <w:pPr>
        <w:pStyle w:val="Compact"/>
        <w:numPr>
          <w:ilvl w:val="0"/>
          <w:numId w:val="1015"/>
        </w:numPr>
      </w:pPr>
      <w:r>
        <w:t xml:space="preserve">적합 여부가 불확실한 품목은</w:t>
      </w:r>
      <w:r>
        <w:t xml:space="preserve"> </w:t>
      </w:r>
      <w:r>
        <w:t xml:space="preserve">“의심품”</w:t>
      </w:r>
      <w:r>
        <w:t xml:space="preserve">으로 분류하고 부적합품과 동일하게 격리한다.</w:t>
      </w:r>
    </w:p>
    <w:p>
      <w:pPr>
        <w:pStyle w:val="Compact"/>
        <w:numPr>
          <w:ilvl w:val="0"/>
          <w:numId w:val="1015"/>
        </w:numPr>
      </w:pPr>
      <w:r>
        <w:t xml:space="preserve">의심품 태그 (황색 바탕)를 부착하고,</w:t>
      </w:r>
      <w:r>
        <w:t xml:space="preserve"> </w:t>
      </w:r>
      <w:r>
        <w:t xml:space="preserve">“SUSPECT”</w:t>
      </w:r>
      <w:r>
        <w:t xml:space="preserve"> </w:t>
      </w:r>
      <w:r>
        <w:t xml:space="preserve">표기를 추가한다.</w:t>
      </w:r>
    </w:p>
    <w:p>
      <w:pPr>
        <w:pStyle w:val="Compact"/>
        <w:numPr>
          <w:ilvl w:val="0"/>
          <w:numId w:val="1015"/>
        </w:numPr>
      </w:pPr>
      <w:r>
        <w:t xml:space="preserve">의심품의 출처, 이력, 인증서를 조사하여 적합/부적합을 판정한다.</w:t>
      </w:r>
    </w:p>
    <w:p>
      <w:pPr>
        <w:pStyle w:val="Compact"/>
        <w:numPr>
          <w:ilvl w:val="0"/>
          <w:numId w:val="1015"/>
        </w:numPr>
      </w:pPr>
      <w:r>
        <w:t xml:space="preserve">판정 완료 시까지 의심품은 사용하지 않는다.</w:t>
      </w:r>
    </w:p>
    <w:p>
      <w:pPr>
        <w:pStyle w:val="Compact"/>
        <w:numPr>
          <w:ilvl w:val="0"/>
          <w:numId w:val="1015"/>
        </w:numPr>
      </w:pPr>
      <w:r>
        <w:t xml:space="preserve">판정 결과에 따라 적합품 반환 또는 부적합 절차를 진행한다.</w:t>
      </w:r>
    </w:p>
    <w:bookmarkEnd w:id="44"/>
    <w:bookmarkStart w:id="45" w:name="위조부품-counterfeit-part-격리"/>
    <w:p>
      <w:pPr>
        <w:pStyle w:val="Heading2"/>
      </w:pPr>
      <w:r>
        <w:t xml:space="preserve">12.2 위조부품 (Counterfeit Part) 격리</w:t>
      </w:r>
    </w:p>
    <w:p>
      <w:pPr>
        <w:pStyle w:val="Compact"/>
        <w:numPr>
          <w:ilvl w:val="0"/>
          <w:numId w:val="1016"/>
        </w:numPr>
      </w:pPr>
      <w:r>
        <w:t xml:space="preserve">위조가 의심되는 부품은 즉시 격리하고 품질책임자(QMR)에게 보고한다.</w:t>
      </w:r>
    </w:p>
    <w:p>
      <w:pPr>
        <w:pStyle w:val="Compact"/>
        <w:numPr>
          <w:ilvl w:val="0"/>
          <w:numId w:val="1016"/>
        </w:numPr>
      </w:pPr>
      <w:r>
        <w:t xml:space="preserve">위조부품 전용 격리함 (잠금 보관함)에 별도 보관한다.</w:t>
      </w:r>
    </w:p>
    <w:p>
      <w:pPr>
        <w:pStyle w:val="Compact"/>
        <w:numPr>
          <w:ilvl w:val="0"/>
          <w:numId w:val="1016"/>
        </w:numPr>
      </w:pPr>
      <w:r>
        <w:t xml:space="preserve">SAE AS6081/AS6174에 따라 해당 부품의 출처 및 유통 경로를 조사한다.</w:t>
      </w:r>
    </w:p>
    <w:p>
      <w:pPr>
        <w:pStyle w:val="Compact"/>
        <w:numPr>
          <w:ilvl w:val="0"/>
          <w:numId w:val="1016"/>
        </w:numPr>
      </w:pPr>
      <w:r>
        <w:t xml:space="preserve">조사 결과를 정부 당국 또는 인증 기관에 보고한다 (해당 국가 법규에 따름).</w:t>
      </w:r>
    </w:p>
    <w:p>
      <w:pPr>
        <w:pStyle w:val="Compact"/>
        <w:numPr>
          <w:ilvl w:val="0"/>
          <w:numId w:val="1016"/>
        </w:numPr>
      </w:pPr>
      <w:r>
        <w:t xml:space="preserve">위조부품은 폐기 처분하며, 재사용/수리/특채를 절대 허용하지 않는다.</w:t>
      </w:r>
    </w:p>
    <w:p>
      <w:pPr>
        <w:pStyle w:val="Compact"/>
        <w:numPr>
          <w:ilvl w:val="0"/>
          <w:numId w:val="1016"/>
        </w:numPr>
      </w:pPr>
      <w:r>
        <w:t xml:space="preserve">해당 공급업체에 대한 시정조치를 요구하고, ASL(승인 공급업체 목록) 재검토를 실시한다.</w:t>
      </w:r>
    </w:p>
    <w:bookmarkEnd w:id="45"/>
    <w:bookmarkStart w:id="46" w:name="안전-관련-부적합-에스컬레이션"/>
    <w:p>
      <w:pPr>
        <w:pStyle w:val="Heading2"/>
      </w:pPr>
      <w:r>
        <w:t xml:space="preserve">12.3 안전 관련 부적합 에스컬레이션</w:t>
      </w:r>
    </w:p>
    <w:p>
      <w:pPr>
        <w:pStyle w:val="Compact"/>
        <w:numPr>
          <w:ilvl w:val="0"/>
          <w:numId w:val="1017"/>
        </w:numPr>
      </w:pPr>
      <w:r>
        <w:t xml:space="preserve">제품 안전에 영향을 미치는 부적합 발견 시 다음 에스컬레이션 절차를 따른다: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시간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1단계</w:t>
            </w:r>
          </w:p>
        </w:tc>
        <w:tc>
          <w:tcPr/>
          <w:p>
            <w:pPr>
              <w:pStyle w:val="Compact"/>
            </w:pPr>
            <w:r>
              <w:t xml:space="preserve">발견 즉시</w:t>
            </w:r>
          </w:p>
        </w:tc>
        <w:tc>
          <w:tcPr/>
          <w:p>
            <w:pPr>
              <w:pStyle w:val="Compact"/>
            </w:pPr>
            <w:r>
              <w:t xml:space="preserve">생산 중지, 해당 로트 전수 격리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라인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</w:t>
            </w:r>
          </w:p>
        </w:tc>
        <w:tc>
          <w:tcPr/>
          <w:p>
            <w:pPr>
              <w:pStyle w:val="Compact"/>
            </w:pPr>
            <w:r>
              <w:t xml:space="preserve">발견 후 1시간</w:t>
            </w:r>
          </w:p>
        </w:tc>
        <w:tc>
          <w:tcPr/>
          <w:p>
            <w:pPr>
              <w:pStyle w:val="Compact"/>
            </w:pPr>
            <w:r>
              <w:t xml:space="preserve">초기 보고 및 영향 범위 파악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품질책임자(QMR)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</w:t>
            </w:r>
          </w:p>
        </w:tc>
        <w:tc>
          <w:tcPr/>
          <w:p>
            <w:pPr>
              <w:pStyle w:val="Compact"/>
            </w:pPr>
            <w:r>
              <w:t xml:space="preserve">발견 후 4시간</w:t>
            </w:r>
          </w:p>
        </w:tc>
        <w:tc>
          <w:tcPr/>
          <w:p>
            <w:pPr>
              <w:pStyle w:val="Compact"/>
            </w:pPr>
            <w:r>
              <w:t xml:space="preserve">상세 보고 및 초기 원인 분석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공장장/경영진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4단계</w:t>
            </w:r>
          </w:p>
        </w:tc>
        <w:tc>
          <w:tcPr/>
          <w:p>
            <w:pPr>
              <w:pStyle w:val="Compact"/>
            </w:pPr>
            <w:r>
              <w:t xml:space="preserve">발견 후 24시간</w:t>
            </w:r>
          </w:p>
        </w:tc>
        <w:tc>
          <w:tcPr/>
          <w:p>
            <w:pPr>
              <w:pStyle w:val="Compact"/>
            </w:pPr>
            <w:r>
              <w:t xml:space="preserve">고객 통보 및 시정조치 계획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품질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5단계</w:t>
            </w:r>
          </w:p>
        </w:tc>
        <w:tc>
          <w:tcPr/>
          <w:p>
            <w:pPr>
              <w:pStyle w:val="Compact"/>
            </w:pPr>
            <w:r>
              <w:t xml:space="preserve">발견 후 48시간</w:t>
            </w:r>
          </w:p>
        </w:tc>
        <w:tc>
          <w:tcPr/>
          <w:p>
            <w:pPr>
              <w:pStyle w:val="Compact"/>
            </w:pPr>
            <w:r>
              <w:t xml:space="preserve">규제 당국 보고 (해당 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 기관/당국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안전 관련 부적합은 모든 처분에 고객 승인을 필수로 한다.</w:t>
      </w:r>
    </w:p>
    <w:p>
      <w:pPr>
        <w:pStyle w:val="Compact"/>
        <w:numPr>
          <w:ilvl w:val="0"/>
          <w:numId w:val="1018"/>
        </w:numPr>
      </w:pPr>
      <w:r>
        <w:t xml:space="preserve">이미 출하된 제품 중 동일 로트가 있는 경우 고객에게 즉시 통보한다.</w:t>
      </w:r>
    </w:p>
    <w:p>
      <w:pPr>
        <w:pStyle w:val="Compact"/>
        <w:numPr>
          <w:ilvl w:val="0"/>
          <w:numId w:val="1018"/>
        </w:numPr>
      </w:pPr>
      <w:r>
        <w:t xml:space="preserve">안전 관련 부적합 기록은 영구 보존한다.</w:t>
      </w:r>
    </w:p>
    <w:bookmarkEnd w:id="46"/>
    <w:bookmarkEnd w:id="47"/>
    <w:bookmarkStart w:id="48" w:name="관련-양식"/>
    <w:p>
      <w:pPr>
        <w:pStyle w:val="Heading1"/>
      </w:pPr>
      <w:r>
        <w:t xml:space="preserve">13.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F-807-01</w:t>
            </w:r>
          </w:p>
        </w:tc>
        <w:tc>
          <w:tcPr/>
          <w:p>
            <w:pPr>
              <w:pStyle w:val="Compact"/>
            </w:pPr>
            <w:r>
              <w:t xml:space="preserve">부적합 보고서(NCR)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발생/처분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F-807-02</w:t>
            </w:r>
          </w:p>
        </w:tc>
        <w:tc>
          <w:tcPr/>
          <w:p>
            <w:pPr>
              <w:pStyle w:val="Compact"/>
            </w:pPr>
            <w:r>
              <w:t xml:space="preserve">격리 구역 입출고 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격리 구역 품목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F-807-03</w:t>
            </w:r>
          </w:p>
        </w:tc>
        <w:tc>
          <w:tcPr/>
          <w:p>
            <w:pPr>
              <w:pStyle w:val="Compact"/>
            </w:pPr>
            <w:r>
              <w:t xml:space="preserve">재작업 지시서</w:t>
            </w:r>
          </w:p>
        </w:tc>
        <w:tc>
          <w:tcPr/>
          <w:p>
            <w:pPr>
              <w:pStyle w:val="Compact"/>
            </w:pPr>
            <w:r>
              <w:t xml:space="preserve">재작업 수행 지시 및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F-807-04</w:t>
            </w:r>
          </w:p>
        </w:tc>
        <w:tc>
          <w:tcPr/>
          <w:p>
            <w:pPr>
              <w:pStyle w:val="Compact"/>
            </w:pPr>
            <w:r>
              <w:t xml:space="preserve">MRB 회의록</w:t>
            </w:r>
          </w:p>
        </w:tc>
        <w:tc>
          <w:tcPr/>
          <w:p>
            <w:pPr>
              <w:pStyle w:val="Compact"/>
            </w:pPr>
            <w:r>
              <w:t xml:space="preserve">MRB 처분 결정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F-807-05</w:t>
            </w:r>
          </w:p>
        </w:tc>
        <w:tc>
          <w:tcPr/>
          <w:p>
            <w:pPr>
              <w:pStyle w:val="Compact"/>
            </w:pPr>
            <w:r>
              <w:t xml:space="preserve">고객 승인 요청서</w:t>
            </w:r>
          </w:p>
        </w:tc>
        <w:tc>
          <w:tcPr/>
          <w:p>
            <w:pPr>
              <w:pStyle w:val="Compact"/>
            </w:pPr>
            <w:r>
              <w:t xml:space="preserve">특채/수리 고객 승인 요청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 (End of Document)</w:t>
      </w:r>
      <w:r>
        <w:t xml:space="preserve"> </w:t>
      </w:r>
      <w:r>
        <w:t xml:space="preserve">본 지침서의 인쇄본은</w:t>
      </w:r>
      <w:r>
        <w:t xml:space="preserve"> </w:t>
      </w:r>
      <w:r>
        <w:t xml:space="preserve">“통제본”</w:t>
      </w:r>
      <w:r>
        <w:t xml:space="preserve"> </w:t>
      </w:r>
      <w:r>
        <w:t xml:space="preserve">스탬프가 날인된 경우에만 유효합니다.</w:t>
      </w:r>
    </w:p>
    <w:bookmarkEnd w:id="48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부적합품 격리 및 처리 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부적합품 격리 및 처리 지침서</w:t>
    </w:r>
    <w:r>
      <w:tab/>
    </w:r>
    <w:r>
      <w:rPr>
        <w:sz w:val="18"/>
      </w:rPr>
      <w:t>WI-811-01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부적합품 격리 및 처리 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WI-811-01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