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지속적 개선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QP-1002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지속적 개선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완전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12efeeb36d12cc2d384191213ac0502466f8ce3">
        <w:r>
          <w:rPr>
            <w:rStyle w:val="Hyperlink"/>
          </w:rPr>
          <w:t xml:space="preserve">지속적 개선 체계 (PDCA 사이클)</w:t>
        </w:r>
      </w:hyperlink>
    </w:p>
    <w:p>
      <w:pPr>
        <w:pStyle w:val="Compact"/>
        <w:numPr>
          <w:ilvl w:val="0"/>
          <w:numId w:val="1001"/>
        </w:numPr>
      </w:pPr>
      <w:hyperlink w:anchor="Xb2e1d165c03e2008e352f96535b5fbc0fe8b225">
        <w:r>
          <w:rPr>
            <w:rStyle w:val="Hyperlink"/>
          </w:rPr>
          <w:t xml:space="preserve">개선 기회 식별</w:t>
        </w:r>
      </w:hyperlink>
    </w:p>
    <w:p>
      <w:pPr>
        <w:pStyle w:val="Compact"/>
        <w:numPr>
          <w:ilvl w:val="0"/>
          <w:numId w:val="1001"/>
        </w:numPr>
      </w:pPr>
      <w:hyperlink w:anchor="X8ca7d4e825972f3f07fa0dcf95c9851a8ae02b5">
        <w:r>
          <w:rPr>
            <w:rStyle w:val="Hyperlink"/>
          </w:rPr>
          <w:t xml:space="preserve">개선 프로젝트 관리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5a06b0b50e5c390f8c0db796f9191da7a9f16b9">
        <w:r>
          <w:rPr>
            <w:rStyle w:val="Hyperlink"/>
          </w:rPr>
          <w:t xml:space="preserve">효과성 측정</w:t>
        </w:r>
      </w:hyperlink>
    </w:p>
    <w:p>
      <w:pPr>
        <w:pStyle w:val="Compact"/>
        <w:numPr>
          <w:ilvl w:val="0"/>
          <w:numId w:val="1001"/>
        </w:numPr>
      </w:pPr>
      <w:hyperlink w:anchor="X715a0912d00ce996be07535c92014cb3b4ae696">
        <w:r>
          <w:rPr>
            <w:rStyle w:val="Hyperlink"/>
          </w:rPr>
          <w:t xml:space="preserve">경영검토 보고</w:t>
        </w:r>
      </w:hyperlink>
    </w:p>
    <w:p>
      <w:pPr>
        <w:pStyle w:val="Compact"/>
        <w:numPr>
          <w:ilvl w:val="0"/>
          <w:numId w:val="1001"/>
        </w:numPr>
      </w:pPr>
      <w:hyperlink w:anchor="X561e84dd207d9d3798df5b102beecfd8f28239a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b18db59e1c7e43d3a15a5de45b562035d15b6fb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Công ty TNHH M&amp;C ELECTRONICS VIỆT NAM (이하 M&amp;C Electronics VINA)의 품질경영시스템(QMS), 프로세스, 제품 및 서비스의 적합성, 충족성, 효과성을 지속적으로 개선하기 위한 체계와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10.3 요구사항에 따른 지속적 개선(Continual Improvement) 체계 수립</w:t>
      </w:r>
      <w:r>
        <w:t xml:space="preserve"> </w:t>
      </w:r>
      <w:r>
        <w:t xml:space="preserve">- PDCA(Plan-Do-Check-Act) 사이클을 기반으로 한 체계적 개선 프로세스 운영</w:t>
      </w:r>
      <w:r>
        <w:t xml:space="preserve"> </w:t>
      </w:r>
      <w:r>
        <w:t xml:space="preserve">- 데이터 분석, 내부심사, 경영검토, 고객 피드백 등 다양한 원천으로부터의 개선 기회 식별</w:t>
      </w:r>
      <w:r>
        <w:t xml:space="preserve"> </w:t>
      </w:r>
      <w:r>
        <w:t xml:space="preserve">- 개선 프로젝트의 체계적 관리 및 효과성 측정</w:t>
      </w:r>
      <w:r>
        <w:t xml:space="preserve"> </w:t>
      </w:r>
      <w:r>
        <w:t xml:space="preserve">- 항공우주 산업의 프로세스 성과 개선 의무 및 모범사례 벤치마킹 이행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전반에 걸친 모든 지속적 개선 활동에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개선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프로세스 효과성, 절차 최적화, 문서 체계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개선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품질 향상, 불량률 감소, 설계 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개선</w:t>
            </w:r>
          </w:p>
        </w:tc>
        <w:tc>
          <w:tcPr/>
          <w:p>
            <w:pPr>
              <w:pStyle w:val="Compact"/>
            </w:pPr>
            <w:r>
              <w:t xml:space="preserve">공정 능력 향상, 사이클 타임 단축, 수율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개선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대응 개선, 납기 성과 향상, 기술 지원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역량 개선</w:t>
            </w:r>
          </w:p>
        </w:tc>
        <w:tc>
          <w:tcPr/>
          <w:p>
            <w:pPr>
              <w:pStyle w:val="Compact"/>
            </w:pPr>
            <w:r>
              <w:t xml:space="preserve">인력 역량 강화, 교육 체계 개선, 조직 문화 발전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부서</w:t>
      </w:r>
      <w:r>
        <w:t xml:space="preserve">: 전 부서 — 개발(Phát triển), 생산(Sản xuất), 금형(Khuôn), 생산계획(KHSX), 품질(Chất lượng), 구매(PUR), 영업(Kinh doanh), 인사(HR_GA)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9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(10.3항)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(10.3항)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9004:2018</w:t>
            </w:r>
          </w:p>
        </w:tc>
        <w:tc>
          <w:tcPr/>
          <w:p>
            <w:pPr>
              <w:pStyle w:val="Compact"/>
            </w:pPr>
            <w:r>
              <w:t xml:space="preserve">조직의 지속적 성공을 위한 품질경영 —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§10.3 지속적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 및 기회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QP-602</w:t>
            </w:r>
          </w:p>
        </w:tc>
        <w:tc>
          <w:tcPr/>
          <w:p>
            <w:pPr>
              <w:pStyle w:val="Compact"/>
            </w:pPr>
            <w:r>
              <w:t xml:space="preserve">품질목표 수립/달성 기획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QP-901</w:t>
            </w:r>
          </w:p>
        </w:tc>
        <w:tc>
          <w:tcPr/>
          <w:p>
            <w:pPr>
              <w:pStyle w:val="Compact"/>
            </w:pPr>
            <w:r>
              <w:t xml:space="preserve">모니터링, 측정, 분석 및 평가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QP-902</w:t>
            </w:r>
          </w:p>
        </w:tc>
        <w:tc>
          <w:tcPr/>
          <w:p>
            <w:pPr>
              <w:pStyle w:val="Compact"/>
            </w:pPr>
            <w:r>
              <w:t xml:space="preserve">고객만족도 측정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 및 시정조치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지속적 개선 (Continual Improvement)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성과를 향상시키기 위한 반복적 활동 (ISO 9000:2015, 3.3.2). 한 번의 도약이 아닌 지속적이고 점진적인 개선을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PDCA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Plan(계획)-Do(실행)-Check(확인)-Act(조치) 사이클. 모든 개선 활동의 기본 프레임워크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Kaizen</w:t>
            </w:r>
          </w:p>
        </w:tc>
        <w:tc>
          <w:tcPr/>
          <w:p>
            <w:pPr>
              <w:pStyle w:val="Compact"/>
            </w:pPr>
            <w:r>
              <w:t xml:space="preserve">일본어</w:t>
            </w:r>
            <w:r>
              <w:t xml:space="preserve"> </w:t>
            </w:r>
            <w:r>
              <w:rPr>
                <w:rFonts w:hint="eastAsia"/>
              </w:rPr>
              <w:t xml:space="preserve">‘개선(改善)’</w:t>
            </w:r>
            <w:r>
              <w:t xml:space="preserve">. 모든 구성원이 참여하는 점진적·지속적 개선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DMAIC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Define(정의)-Measure(측정)-Analyze(분석)-Improve(개선)-Control(관리). Six Sigma 개선 방법론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 Learned</w:t>
            </w:r>
          </w:p>
        </w:tc>
        <w:tc>
          <w:tcPr/>
          <w:p>
            <w:pPr>
              <w:pStyle w:val="Compact"/>
            </w:pPr>
            <w:r>
              <w:t xml:space="preserve">교훈 사항 — 프로젝트, 문제 해결, 개선 활동 등에서 얻은 경험과 지식을 체계적으로 기록한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기회 (Opportunity for Improvement)</w:t>
            </w:r>
          </w:p>
        </w:tc>
        <w:tc>
          <w:tcPr/>
          <w:p>
            <w:pPr>
              <w:pStyle w:val="Compact"/>
            </w:pPr>
            <w:r>
              <w:t xml:space="preserve">현재 성과 수준과 바람직한 성과 수준 사이의 격차(Gap)에서 도출되는 개선 여지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(Key Performance Indicator)</w:t>
            </w:r>
          </w:p>
        </w:tc>
        <w:tc>
          <w:tcPr/>
          <w:p>
            <w:pPr>
              <w:pStyle w:val="Compact"/>
            </w:pPr>
            <w:r>
              <w:t xml:space="preserve">핵심성과지표 — 프로세스 및 시스템 성과를 측정하는 정량적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벤치마킹 (Benchmarking)</w:t>
            </w:r>
          </w:p>
        </w:tc>
        <w:tc>
          <w:tcPr/>
          <w:p>
            <w:pPr>
              <w:pStyle w:val="Compact"/>
            </w:pPr>
            <w:r>
              <w:t xml:space="preserve">업계 최우수 사례(Best Practice)와 자사 프로세스를 비교·분석하여 개선 기회를 도출하는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성숙도 (QMS Maturity)</w:t>
            </w:r>
          </w:p>
        </w:tc>
        <w:tc>
          <w:tcPr/>
          <w:p>
            <w:pPr>
              <w:pStyle w:val="Compact"/>
            </w:pPr>
            <w:r>
              <w:t xml:space="preserve">품질경영시스템의 발전 단계를 평가하는 수준 — 반응적(Reactive) → 체계적(Systematic) → 선제적(Proactive) → 혁신적(Innovative)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 (Continual Improvement Plan)</w:t>
            </w:r>
          </w:p>
        </w:tc>
        <w:tc>
          <w:tcPr/>
          <w:p>
            <w:pPr>
              <w:pStyle w:val="Compact"/>
            </w:pPr>
            <w:r>
              <w:t xml:space="preserve">지속적 개선 계획서 — 개선 목표, 과제, 일정, 자원, 성과 지표를 포함하는 연간/반기 계획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1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지속적 개선 문화 조성을 위한 리더십, 자원 배분 승인, 경영검토 시 개선 방향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품질책임자(QMR)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지속적 개선 체계 총괄 관리, 연간 CIP 수립 주관, 개선 성과 경영검토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개선 과제 등록/추적/종결 실무 총괄, KPI 모니터링, 개선 도구 교육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품질팀 담당자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데이터 수집·분석, 개선 과제 진행 관리, Lesson Learned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 부서장</w:t>
            </w:r>
          </w:p>
        </w:tc>
        <w:tc>
          <w:tcPr/>
          <w:p>
            <w:pPr>
              <w:pStyle w:val="Compact"/>
            </w:pPr>
            <w:r>
              <w:t xml:space="preserve">소관 부서 개선 기회 발굴 및 개선 과제 실행, 개선 결과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임직원</w:t>
            </w:r>
          </w:p>
        </w:tc>
        <w:tc>
          <w:tcPr/>
          <w:p>
            <w:pPr>
              <w:pStyle w:val="Compact"/>
            </w:pPr>
            <w:r>
              <w:t xml:space="preserve">개선 제안 제출, 할당된 개선 과제 이행, Kaizen 활동 참여</w:t>
            </w:r>
          </w:p>
        </w:tc>
      </w:tr>
    </w:tbl>
    <w:bookmarkEnd w:id="18"/>
    <w:bookmarkStart w:id="25" w:name="지속적-개선-체계-pdca-사이클"/>
    <w:p>
      <w:pPr>
        <w:pStyle w:val="Heading1"/>
      </w:pPr>
      <w:r>
        <w:t xml:space="preserve">6. 지속적 개선 체계 (PDCA 사이클)</w:t>
      </w:r>
    </w:p>
    <w:bookmarkStart w:id="19" w:name="pdca-사이클-개요"/>
    <w:p>
      <w:pPr>
        <w:pStyle w:val="Heading2"/>
      </w:pPr>
      <w:r>
        <w:t xml:space="preserve">6.1 PDCA 사이클 개요</w:t>
      </w:r>
    </w:p>
    <w:p>
      <w:pPr>
        <w:pStyle w:val="FirstParagraph"/>
      </w:pPr>
      <w:r>
        <w:t xml:space="preserve">M&amp;C Electronics VINA의 모든 지속적 개선 활동은 PDCA 사이클을 기본 프레임워크로 운영한다.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394"/>
        <w:gridCol w:w="4394"/>
      </w:tblGrid>
      <w:tr>
        <w:tc>
          <w:tcPr>
            <w:gridSpan w:val="2"/>
            <w:tcW w:w="4394" w:type="dxa"/>
            <w:tcMar>
              <w:top w:w="80" w:type="dxa"/>
              <w:left w:w="140" w:type="dxa"/>
              <w:bottom w:w="80" w:type="dxa"/>
              <w:right w:w="140" w:type="dxa"/>
            </w:tcMar>
            <w:shd w:val="clear" w:color="auto" w:fill="DEEAF1"/>
          </w:tcPr>
          <w:p>
            <w:pPr>
              <w:jc w:val="center"/>
            </w:pPr>
            <w:r>
              <w:rPr>
                <w:b w:val="1"/>
                <w:rFonts w:ascii="맑은 고딕" w:hAnsi="맑은 고딕" w:eastAsia="맑은 고딕"/>
                <w:sz w:val="20"/>
                <w:szCs w:val="20"/>
              </w:rPr>
              <w:t xml:space="preserve">ACT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개선 조치 실행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시스템 갱신</w:t>
            </w:r>
          </w:p>
        </w:tc>
      </w:tr>
      <w:tr>
        <w:tc>
          <w:tcPr>
            <w:tcW w:w="4394" w:type="dxa"/>
            <w:tcMar>
              <w:top w:w="80" w:type="dxa"/>
              <w:left w:w="140" w:type="dxa"/>
              <w:bottom w:w="80" w:type="dxa"/>
              <w:right w:w="140" w:type="dxa"/>
            </w:tcMar>
            <w:shd w:val="clear" w:color="auto" w:fill="EBF3FB"/>
          </w:tcPr>
          <w:p>
            <w:pPr>
              <w:jc w:val="center"/>
            </w:pPr>
            <w:r>
              <w:rPr>
                <w:b w:val="1"/>
                <w:rFonts w:ascii="맑은 고딕" w:hAnsi="맑은 고딕" w:eastAsia="맑은 고딕"/>
                <w:sz w:val="20"/>
                <w:szCs w:val="20"/>
              </w:rPr>
              <w:t xml:space="preserve">PLAN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목표 수립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프로세스 기획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리스크/기회 결정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자원 결정</w:t>
            </w:r>
          </w:p>
        </w:tc>
        <w:tc>
          <w:tcPr>
            <w:tcW w:w="4394" w:type="dxa"/>
            <w:tcMar>
              <w:top w:w="80" w:type="dxa"/>
              <w:left w:w="140" w:type="dxa"/>
              <w:bottom w:w="80" w:type="dxa"/>
              <w:right w:w="140" w:type="dxa"/>
            </w:tcMar>
            <w:shd w:val="clear" w:color="auto" w:fill="EBF3FB"/>
          </w:tcPr>
          <w:p>
            <w:pPr>
              <w:jc w:val="center"/>
            </w:pPr>
            <w:r>
              <w:rPr>
                <w:b w:val="1"/>
                <w:rFonts w:ascii="맑은 고딕" w:hAnsi="맑은 고딕" w:eastAsia="맑은 고딕"/>
                <w:sz w:val="20"/>
                <w:szCs w:val="20"/>
              </w:rPr>
              <w:t xml:space="preserve">DO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계획 실행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프로세스 운영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자원 배분/활용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문서화된 정보 유지</w:t>
            </w:r>
          </w:p>
        </w:tc>
      </w:tr>
      <w:tr>
        <w:tc>
          <w:tcPr>
            <w:gridSpan w:val="2"/>
            <w:tcW w:w="4394" w:type="dxa"/>
            <w:tcMar>
              <w:top w:w="80" w:type="dxa"/>
              <w:left w:w="140" w:type="dxa"/>
              <w:bottom w:w="80" w:type="dxa"/>
              <w:right w:w="140" w:type="dxa"/>
            </w:tcMar>
            <w:shd w:val="clear" w:color="auto" w:fill="DEEAF1"/>
          </w:tcPr>
          <w:p>
            <w:pPr>
              <w:jc w:val="center"/>
            </w:pPr>
            <w:r>
              <w:rPr>
                <w:b w:val="1"/>
                <w:rFonts w:ascii="맑은 고딕" w:hAnsi="맑은 고딕" w:eastAsia="맑은 고딕"/>
                <w:sz w:val="20"/>
                <w:szCs w:val="20"/>
              </w:rPr>
              <w:t xml:space="preserve">CHECK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성과 모니터링/측정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내부심사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경영검토</w:t>
            </w:r>
          </w:p>
        </w:tc>
      </w:tr>
    </w:tbl>
    <w:bookmarkEnd w:id="19"/>
    <w:bookmarkStart w:id="24" w:name="단계별-활동"/>
    <w:p>
      <w:pPr>
        <w:pStyle w:val="Heading2"/>
      </w:pPr>
      <w:r>
        <w:t xml:space="preserve">6.2 단계별 활동</w:t>
      </w:r>
    </w:p>
    <w:bookmarkStart w:id="20" w:name="plan-계획"/>
    <w:p>
      <w:pPr>
        <w:pStyle w:val="Heading3"/>
      </w:pPr>
      <w:r>
        <w:t xml:space="preserve">6.2.1 PLAN (계획)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87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현상 파악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현재 프로세스 성과 데이터 수집 및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설정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목표 및 달성 기준 설정 (SMART 원칙)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 분석</w:t>
            </w:r>
          </w:p>
        </w:tc>
        <w:tc>
          <w:tcPr/>
          <w:p>
            <w:pPr>
              <w:pStyle w:val="Compact"/>
            </w:pPr>
            <w:r>
              <w:t xml:space="preserve">성과 격차의 근본 원인 분석 (5 Why, 특성요인도, FMEA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대책 수립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방안 도출, 실행 계획 수립 (담당자, 일정, 자원)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평가</w:t>
            </w:r>
          </w:p>
        </w:tc>
        <w:tc>
          <w:tcPr/>
          <w:p>
            <w:pPr>
              <w:pStyle w:val="Compact"/>
            </w:pPr>
            <w:r>
              <w:t xml:space="preserve">개선 실행에 따른 리스크 식별 및 완화 방안 (QP-601 연계)</w:t>
            </w:r>
          </w:p>
        </w:tc>
      </w:tr>
    </w:tbl>
    <w:bookmarkEnd w:id="20"/>
    <w:bookmarkStart w:id="21" w:name="do-실행"/>
    <w:p>
      <w:pPr>
        <w:pStyle w:val="Heading3"/>
      </w:pPr>
      <w:r>
        <w:t xml:space="preserve">6.2.2 DO (실행)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87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시범 실행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소규모 시범(Pilot) 적용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실행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계획에 따른 개선 조치 이행</w:t>
            </w:r>
          </w:p>
        </w:tc>
      </w:tr>
      <w:tr>
        <w:tc>
          <w:tcPr>
            <w:tcW w:w="1878" w:type="dxa"/>
          </w:tcPr>
          <w:p>
            <w:pPr>
              <w:pStyle w:val="Compact"/>
            </w:pPr>
            <w:r>
              <w:t xml:space="preserve">데이터 수집</w:t>
            </w:r>
          </w:p>
        </w:tc>
        <w:tc>
          <w:tcPr>
            <w:tcW w:w="6910" w:type="dxa"/>
          </w:tcPr>
          <w:p>
            <w:pPr>
              <w:pStyle w:val="Compact"/>
            </w:pPr>
            <w:r>
              <w:t xml:space="preserve">실행 과정의 데이터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교육/소통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 인원 교육 및 변경 사항 공유</w:t>
            </w:r>
          </w:p>
        </w:tc>
      </w:tr>
    </w:tbl>
    <w:bookmarkEnd w:id="21"/>
    <w:bookmarkStart w:id="22" w:name="check-확인"/>
    <w:p>
      <w:pPr>
        <w:pStyle w:val="Heading3"/>
      </w:pPr>
      <w:r>
        <w:t xml:space="preserve">6.2.3 CHECK (확인)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측정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전/후 성과 데이터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대비 평가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설정 목표 달성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부작용 점검</w:t>
            </w:r>
          </w:p>
        </w:tc>
        <w:tc>
          <w:tcPr/>
          <w:p>
            <w:pPr>
              <w:pStyle w:val="Compact"/>
            </w:pPr>
            <w:r>
              <w:t xml:space="preserve">개선에 따른 의도치 않은 부정적 영향 유무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효과성 판정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효과의 지속 가능성 및 유효성 판정</w:t>
            </w:r>
          </w:p>
        </w:tc>
      </w:tr>
    </w:tbl>
    <w:bookmarkEnd w:id="22"/>
    <w:bookmarkStart w:id="23" w:name="act-조치"/>
    <w:p>
      <w:pPr>
        <w:pStyle w:val="Heading3"/>
      </w:pPr>
      <w:r>
        <w:t xml:space="preserve">6.2.4 ACT (조치)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표준화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효과 확인된 개선 사항을 절차/표준에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수평 전개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유사 프로세스/제품으로 개선 사항 확대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 Learned 기록</w:t>
            </w:r>
          </w:p>
        </w:tc>
        <w:tc>
          <w:tcPr/>
          <w:p>
            <w:pPr>
              <w:pStyle w:val="Compact"/>
            </w:pPr>
            <w:r>
              <w:t xml:space="preserve">개선 활동에서 얻은 교훈 체계적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과제 식별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미진한 부분에 대한 추가 개선 과제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차기 PDCA 연결</w:t>
            </w:r>
          </w:p>
        </w:tc>
        <w:tc>
          <w:tcPr/>
          <w:p>
            <w:pPr>
              <w:pStyle w:val="Compact"/>
            </w:pPr>
            <w:r>
              <w:t xml:space="preserve">다음 개선 사이클로 연결</w:t>
            </w:r>
          </w:p>
        </w:tc>
      </w:tr>
    </w:tbl>
    <w:bookmarkEnd w:id="23"/>
    <w:bookmarkEnd w:id="24"/>
    <w:bookmarkEnd w:id="25"/>
    <w:bookmarkStart w:id="28" w:name="개선-기회-식별"/>
    <w:p>
      <w:pPr>
        <w:pStyle w:val="Heading1"/>
      </w:pPr>
      <w:r>
        <w:t xml:space="preserve">7. 개선 기회 식별</w:t>
      </w:r>
    </w:p>
    <w:bookmarkStart w:id="26" w:name="개선-기회-원천-input-sources"/>
    <w:p>
      <w:pPr>
        <w:pStyle w:val="Heading2"/>
      </w:pPr>
      <w:r>
        <w:t xml:space="preserve">7.1 개선 기회 원천 (Input Sources)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원천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분석</w:t>
            </w:r>
          </w:p>
        </w:tc>
        <w:tc>
          <w:tcPr/>
          <w:p>
            <w:pPr>
              <w:pStyle w:val="Compact"/>
            </w:pPr>
            <w:r>
              <w:t xml:space="preserve">KPI 추세 분석, 불량 파레토, 공정 능력 분석 (QP-901)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</w:t>
            </w:r>
          </w:p>
        </w:tc>
        <w:tc>
          <w:tcPr/>
          <w:p>
            <w:pPr>
              <w:pStyle w:val="Compact"/>
            </w:pPr>
            <w:r>
              <w:t xml:space="preserve">심사 발견사항 (NCR, OFI) (QP-903)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</w:t>
            </w:r>
          </w:p>
        </w:tc>
        <w:tc>
          <w:tcPr/>
          <w:p>
            <w:pPr>
              <w:pStyle w:val="Compact"/>
            </w:pPr>
            <w:r>
              <w:t xml:space="preserve">경영검토 출력 — 개선 기회 및 자원 배분 결정 (QP-904)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피드백</w:t>
            </w:r>
          </w:p>
        </w:tc>
        <w:tc>
          <w:tcPr/>
          <w:p>
            <w:pPr>
              <w:pStyle w:val="Compact"/>
            </w:pPr>
            <w:r>
              <w:t xml:space="preserve">고객만족 데이터, 클레임, 스코어카드 (QP-902)</w:t>
            </w:r>
          </w:p>
        </w:tc>
        <w:tc>
          <w:tcPr/>
          <w:p>
            <w:pPr>
              <w:pStyle w:val="Compact"/>
            </w:pPr>
            <w:r>
              <w:t xml:space="preserve">영업/품질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</w:t>
            </w:r>
          </w:p>
        </w:tc>
        <w:tc>
          <w:tcPr/>
          <w:p>
            <w:pPr>
              <w:pStyle w:val="Compact"/>
            </w:pPr>
            <w:r>
              <w:t xml:space="preserve">CAR 분석, 재발 부적합 추세 (QP-1001)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및 기회</w:t>
            </w:r>
          </w:p>
        </w:tc>
        <w:tc>
          <w:tcPr/>
          <w:p>
            <w:pPr>
              <w:pStyle w:val="Compact"/>
            </w:pPr>
            <w:r>
              <w:t xml:space="preserve">리스크 평가 결과, 기회 활용 방안 (QP-601)</w:t>
            </w:r>
          </w:p>
        </w:tc>
        <w:tc>
          <w:tcPr/>
          <w:p>
            <w:pPr>
              <w:pStyle w:val="Compact"/>
            </w:pPr>
            <w:r>
              <w:t xml:space="preserve">각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품질목표</w:t>
            </w:r>
          </w:p>
        </w:tc>
        <w:tc>
          <w:tcPr/>
          <w:p>
            <w:pPr>
              <w:pStyle w:val="Compact"/>
            </w:pPr>
            <w:r>
              <w:t xml:space="preserve">품질목표 달성 현황, 미달 항목 (QP-602)</w:t>
            </w:r>
          </w:p>
        </w:tc>
        <w:tc>
          <w:tcPr/>
          <w:p>
            <w:pPr>
              <w:pStyle w:val="Compact"/>
            </w:pPr>
            <w:r>
              <w:t xml:space="preserve">각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직원 제안</w:t>
            </w:r>
          </w:p>
        </w:tc>
        <w:tc>
          <w:tcPr/>
          <w:p>
            <w:pPr>
              <w:pStyle w:val="Compact"/>
            </w:pPr>
            <w:r>
              <w:t xml:space="preserve">Kaizen 제안, 개선 아이디어</w:t>
            </w:r>
          </w:p>
        </w:tc>
        <w:tc>
          <w:tcPr/>
          <w:p>
            <w:pPr>
              <w:pStyle w:val="Compact"/>
            </w:pPr>
            <w:r>
              <w:t xml:space="preserve">전 임직원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변화</w:t>
            </w:r>
          </w:p>
        </w:tc>
        <w:tc>
          <w:tcPr/>
          <w:p>
            <w:pPr>
              <w:pStyle w:val="Compact"/>
            </w:pPr>
            <w:r>
              <w:t xml:space="preserve">규격 개정, 기술 발전, 업계 동향, 규제 변경</w:t>
            </w:r>
          </w:p>
        </w:tc>
        <w:tc>
          <w:tcPr/>
          <w:p>
            <w:pPr>
              <w:pStyle w:val="Compact"/>
            </w:pPr>
            <w:r>
              <w:t xml:space="preserve">품질/기술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벤치마킹</w:t>
            </w:r>
          </w:p>
        </w:tc>
        <w:tc>
          <w:tcPr/>
          <w:p>
            <w:pPr>
              <w:pStyle w:val="Compact"/>
            </w:pPr>
            <w:r>
              <w:t xml:space="preserve">업계 모범사례 비교 분석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연간</w:t>
            </w:r>
          </w:p>
        </w:tc>
      </w:tr>
    </w:tbl>
    <w:bookmarkEnd w:id="26"/>
    <w:bookmarkStart w:id="27" w:name="개선-기회-평가-및-우선순위"/>
    <w:p>
      <w:pPr>
        <w:pStyle w:val="Heading2"/>
      </w:pPr>
      <w:r>
        <w:t xml:space="preserve">7.2 개선 기회 평가 및 우선순위</w:t>
      </w:r>
    </w:p>
    <w:p>
      <w:pPr>
        <w:pStyle w:val="FirstParagraph"/>
      </w:pPr>
      <w:r>
        <w:t xml:space="preserve">수집된 개선 기회는 다음 기준에 따라 평가하고 우선순위를 결정한다: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 (1~5)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영향도</w:t>
            </w:r>
          </w:p>
        </w:tc>
        <w:tc>
          <w:tcPr/>
          <w:p>
            <w:pPr>
              <w:pStyle w:val="Compact"/>
            </w:pPr>
            <w:r>
              <w:t xml:space="preserve">5 = 매우 높음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만족, 클레임 감소에 미치는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영향도</w:t>
            </w:r>
          </w:p>
        </w:tc>
        <w:tc>
          <w:tcPr/>
          <w:p>
            <w:pPr>
              <w:pStyle w:val="Compact"/>
            </w:pPr>
            <w:r>
              <w:t xml:space="preserve">5 = 매우 높음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제품/프로세스 품질 향상 기대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실현 가능성</w:t>
            </w:r>
          </w:p>
        </w:tc>
        <w:tc>
          <w:tcPr/>
          <w:p>
            <w:pPr>
              <w:pStyle w:val="Compact"/>
            </w:pPr>
            <w:r>
              <w:t xml:space="preserve">5 = 매우 쉬움</w:t>
            </w:r>
          </w:p>
        </w:tc>
        <w:tc>
          <w:tcPr/>
          <w:p>
            <w:pPr>
              <w:pStyle w:val="Compact"/>
            </w:pPr>
            <w:r>
              <w:t xml:space="preserve">기술적 난이도, 자원 소요, 구현 복잡도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 대비 효과</w:t>
            </w:r>
          </w:p>
        </w:tc>
        <w:tc>
          <w:tcPr/>
          <w:p>
            <w:pPr>
              <w:pStyle w:val="Compact"/>
            </w:pPr>
            <w:r>
              <w:t xml:space="preserve">5 = 매우 높음</w:t>
            </w:r>
          </w:p>
        </w:tc>
        <w:tc>
          <w:tcPr/>
          <w:p>
            <w:pPr>
              <w:pStyle w:val="Compact"/>
            </w:pPr>
            <w:r>
              <w:t xml:space="preserve">투입 비용 대비 기대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긴급성</w:t>
            </w:r>
          </w:p>
        </w:tc>
        <w:tc>
          <w:tcPr/>
          <w:p>
            <w:pPr>
              <w:pStyle w:val="Compact"/>
            </w:pPr>
            <w:r>
              <w:t xml:space="preserve">5 = 매우 긴급</w:t>
            </w:r>
          </w:p>
        </w:tc>
        <w:tc>
          <w:tcPr/>
          <w:p>
            <w:pPr>
              <w:pStyle w:val="Compact"/>
            </w:pPr>
            <w:r>
              <w:t xml:space="preserve">조기 개선 필요성</w:t>
            </w:r>
          </w:p>
        </w:tc>
      </w:tr>
    </w:tbl>
    <w:p>
      <w:pPr>
        <w:pStyle w:val="BodyText"/>
      </w:pPr>
      <w:r>
        <w:rPr>
          <w:b/>
          <w:bCs/>
        </w:rPr>
        <w:t xml:space="preserve">우선순위 결정</w:t>
      </w:r>
      <w:r>
        <w:t xml:space="preserve">: 총점 = Σ(각 기준 배점 × 가중치). 총점 기준 High / Medium / Low 분류.</w:t>
      </w:r>
    </w:p>
    <w:bookmarkEnd w:id="27"/>
    <w:bookmarkEnd w:id="28"/>
    <w:bookmarkStart w:id="37" w:name="개선-프로젝트-관리"/>
    <w:p>
      <w:pPr>
        <w:pStyle w:val="Heading1"/>
      </w:pPr>
      <w:r>
        <w:t xml:space="preserve">8. 개선 프로젝트 관리</w:t>
      </w:r>
    </w:p>
    <w:bookmarkStart w:id="29" w:name="개선-과제-등록"/>
    <w:p>
      <w:pPr>
        <w:pStyle w:val="Heading2"/>
      </w:pPr>
      <w:r>
        <w:t xml:space="preserve">8.1 개선 과제 등록</w:t>
      </w:r>
    </w:p>
    <w:p>
      <w:pPr>
        <w:pStyle w:val="FirstParagraph"/>
      </w:pPr>
      <w:r>
        <w:t xml:space="preserve">식별되고 우선순위가 결정된 개선 기회는</w:t>
      </w:r>
      <w:r>
        <w:t xml:space="preserve"> </w:t>
      </w:r>
      <w:r>
        <w:rPr>
          <w:b/>
          <w:bCs/>
        </w:rPr>
        <w:t xml:space="preserve">개선 과제 대장</w:t>
      </w:r>
      <w:r>
        <w:t xml:space="preserve">에 등록하여 관리한다.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87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등록 항목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과제 번호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CI-YYYY-NNN (Continual Improvement-연도-일련번호)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과제명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과제의 구체적 명칭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개선 기회 식별 출처 (심사/클레임/데이터 분석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대상</w:t>
            </w:r>
          </w:p>
        </w:tc>
        <w:tc>
          <w:tcPr>
            <w:tcW w:w="6910" w:type="dxa"/>
          </w:tcPr>
          <w:p>
            <w:pPr>
              <w:pStyle w:val="Compact"/>
            </w:pPr>
            <w:r>
              <w:t xml:space="preserve">대상 프로세스, 제품,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수준</w:t>
            </w:r>
          </w:p>
        </w:tc>
        <w:tc>
          <w:tcPr/>
          <w:p>
            <w:pPr>
              <w:pStyle w:val="Compact"/>
            </w:pPr>
            <w:r>
              <w:t xml:space="preserve">현행 성과 데이터 (개선 전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수준</w:t>
            </w:r>
          </w:p>
        </w:tc>
        <w:tc>
          <w:tcPr/>
          <w:p>
            <w:pPr>
              <w:pStyle w:val="Compact"/>
            </w:pPr>
            <w:r>
              <w:t xml:space="preserve">개선 목표 (정량적 수치)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방법론</w:t>
            </w:r>
          </w:p>
        </w:tc>
        <w:tc>
          <w:tcPr/>
          <w:p>
            <w:pPr>
              <w:pStyle w:val="Compact"/>
            </w:pPr>
            <w:r>
              <w:t xml:space="preserve">PDCA, DMAIC, Kaizen, 8D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담당자/팀</w:t>
            </w:r>
          </w:p>
        </w:tc>
        <w:tc>
          <w:tcPr/>
          <w:p>
            <w:pPr>
              <w:pStyle w:val="Compact"/>
            </w:pPr>
            <w:r>
              <w:t xml:space="preserve">개선 과제 책임자 및 참여 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완료일</w:t>
            </w:r>
          </w:p>
        </w:tc>
        <w:tc>
          <w:tcPr/>
          <w:p>
            <w:pPr>
              <w:pStyle w:val="Compact"/>
            </w:pPr>
            <w:r>
              <w:t xml:space="preserve">개선 완료 목표 일자</w:t>
            </w:r>
          </w:p>
        </w:tc>
      </w:tr>
      <w:tr>
        <w:tc>
          <w:tcPr>
            <w:tcW w:w="1878" w:type="dxa"/>
          </w:tcPr>
          <w:p>
            <w:pPr>
              <w:pStyle w:val="Compact"/>
            </w:pPr>
            <w:r>
              <w:t xml:space="preserve">상태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등록 / 진행 중 / 확인 중 / 완료 / 종결</w:t>
            </w:r>
          </w:p>
        </w:tc>
      </w:tr>
    </w:tbl>
    <w:bookmarkEnd w:id="29"/>
    <w:bookmarkStart w:id="30" w:name="개선-방법론-선택"/>
    <w:p>
      <w:pPr>
        <w:pStyle w:val="Heading2"/>
      </w:pPr>
      <w:r>
        <w:t xml:space="preserve">8.2 개선 방법론 선택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554"/>
        <w:gridCol w:w="2810"/>
        <w:gridCol w:w="255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개선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권장 방법론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개선</w:t>
            </w:r>
          </w:p>
        </w:tc>
        <w:tc>
          <w:tcPr/>
          <w:p>
            <w:pPr>
              <w:pStyle w:val="Compact"/>
            </w:pPr>
            <w:r>
              <w:t xml:space="preserve">PDCA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단일 프로세스, 단기 개선 (1~2개월)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즉시 개선</w:t>
            </w:r>
          </w:p>
        </w:tc>
        <w:tc>
          <w:tcPr/>
          <w:p>
            <w:pPr>
              <w:pStyle w:val="Compact"/>
            </w:pPr>
            <w:r>
              <w:t xml:space="preserve">Kaizen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 수준의 즉시 실행 가능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 문제 해결</w:t>
            </w:r>
          </w:p>
        </w:tc>
        <w:tc>
          <w:tcPr/>
          <w:p>
            <w:pPr>
              <w:pStyle w:val="Compact"/>
            </w:pPr>
            <w:r>
              <w:t xml:space="preserve">DMAIC (6 Sigma)</w:t>
            </w:r>
          </w:p>
        </w:tc>
        <w:tc>
          <w:tcPr/>
          <w:p>
            <w:pPr>
              <w:pStyle w:val="Compact"/>
            </w:pPr>
            <w:r>
              <w:t xml:space="preserve">다수 변수, 통계적 분석 필요, 중장기 (3~6개월)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재발 방지</w:t>
            </w:r>
          </w:p>
        </w:tc>
        <w:tc>
          <w:tcPr/>
          <w:p>
            <w:pPr>
              <w:pStyle w:val="Compact"/>
            </w:pPr>
            <w:r>
              <w:t xml:space="preserve">8D</w:t>
            </w:r>
          </w:p>
        </w:tc>
        <w:tc>
          <w:tcPr/>
          <w:p>
            <w:pPr>
              <w:pStyle w:val="Compact"/>
            </w:pPr>
            <w:r>
              <w:t xml:space="preserve">고객 클레임, 반복 부적합 (QP-1001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구조 개선</w:t>
            </w:r>
          </w:p>
        </w:tc>
        <w:tc>
          <w:tcPr/>
          <w:p>
            <w:pPr>
              <w:pStyle w:val="Compact"/>
            </w:pPr>
            <w:r>
              <w:t xml:space="preserve">프로세스 재설계</w:t>
            </w:r>
          </w:p>
        </w:tc>
        <w:tc>
          <w:tcPr/>
          <w:p>
            <w:pPr>
              <w:pStyle w:val="Compact"/>
            </w:pPr>
            <w:r>
              <w:t xml:space="preserve">QMS 프로세스 구조적 변경</w:t>
            </w:r>
          </w:p>
        </w:tc>
      </w:tr>
    </w:tbl>
    <w:bookmarkEnd w:id="30"/>
    <w:bookmarkStart w:id="33" w:name="개선-과제-실행-및-추적"/>
    <w:p>
      <w:pPr>
        <w:pStyle w:val="Heading2"/>
      </w:pPr>
      <w:r>
        <w:t xml:space="preserve">8.3 개선 과제 실행 및 추적</w:t>
      </w:r>
    </w:p>
    <w:bookmarkStart w:id="31" w:name="실행-관리"/>
    <w:p>
      <w:pPr>
        <w:pStyle w:val="Heading3"/>
      </w:pPr>
      <w:r>
        <w:t xml:space="preserve">8.3.1 실행 관리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개선 계획서 작성</w:t>
      </w:r>
      <w:r>
        <w:t xml:space="preserve">: 과제별 상세 실행 계획 수립 (목표, 일정, 담당자, 방법)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킥오프 (Kick-off)</w:t>
      </w:r>
      <w:r>
        <w:t xml:space="preserve">: 관련 팀원 대상 과제 목표 및 역할 공유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정기 진척 확인</w:t>
      </w:r>
      <w:r>
        <w:t xml:space="preserve">: 월 1회 이상 진행 상황 점검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중간 보고</w:t>
      </w:r>
      <w:r>
        <w:t xml:space="preserve">: 장기 과제(3개월 이상)의 경우 중간 보고 실시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완료 보고</w:t>
      </w:r>
      <w:r>
        <w:t xml:space="preserve">: 개선 완료 후 결과 보고서 작성</w:t>
      </w:r>
    </w:p>
    <w:bookmarkEnd w:id="31"/>
    <w:bookmarkStart w:id="32" w:name="추적-관리"/>
    <w:p>
      <w:pPr>
        <w:pStyle w:val="Heading3"/>
      </w:pPr>
      <w:r>
        <w:t xml:space="preserve">8.3.2 추적 관리</w:t>
      </w:r>
    </w:p>
    <w:p>
      <w:pPr>
        <w:pStyle w:val="Compact"/>
        <w:numPr>
          <w:ilvl w:val="0"/>
          <w:numId w:val="1003"/>
        </w:numPr>
      </w:pPr>
      <w:r>
        <w:t xml:space="preserve">개선 과제 대장을 월간 업데이트</w:t>
      </w:r>
    </w:p>
    <w:p>
      <w:pPr>
        <w:pStyle w:val="Compact"/>
        <w:numPr>
          <w:ilvl w:val="0"/>
          <w:numId w:val="1003"/>
        </w:numPr>
      </w:pPr>
      <w:r>
        <w:t xml:space="preserve">지연 과제에 대해 원인 분석 및 일정 재조정</w:t>
      </w:r>
    </w:p>
    <w:p>
      <w:pPr>
        <w:pStyle w:val="Compact"/>
        <w:numPr>
          <w:ilvl w:val="0"/>
          <w:numId w:val="1003"/>
        </w:numPr>
      </w:pPr>
      <w:r>
        <w:t xml:space="preserve">분기별 과제 현황을 경영진에 보고</w:t>
      </w:r>
    </w:p>
    <w:p>
      <w:pPr>
        <w:pStyle w:val="Compact"/>
        <w:numPr>
          <w:ilvl w:val="0"/>
          <w:numId w:val="1003"/>
        </w:numPr>
      </w:pPr>
      <w:r>
        <w:t xml:space="preserve">과제 상태: 등록 → 진행 중 → 확인 중 → 완료 → 종결(효과성 확인 후)</w:t>
      </w:r>
    </w:p>
    <w:bookmarkEnd w:id="32"/>
    <w:bookmarkEnd w:id="33"/>
    <w:bookmarkStart w:id="36" w:name="kaizen-제안-제도"/>
    <w:p>
      <w:pPr>
        <w:pStyle w:val="Heading2"/>
      </w:pPr>
      <w:r>
        <w:t xml:space="preserve">8.4 Kaizen 제안 제도</w:t>
      </w:r>
    </w:p>
    <w:bookmarkStart w:id="34" w:name="제안-프로세스"/>
    <w:p>
      <w:pPr>
        <w:pStyle w:val="Heading3"/>
      </w:pPr>
      <w:r>
        <w:t xml:space="preserve">8.4.1 제안 프로세스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제안 제출</w:t>
      </w:r>
      <w:r>
        <w:t xml:space="preserve">: 전 임직원이 개선 제안서(QF-1002-03)를 작성하여 부서장에게 제출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부서 검토</w:t>
      </w:r>
      <w:r>
        <w:t xml:space="preserve">: 부서장이 실현 가능성 및 효과를 예비 검토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채택 판정</w:t>
      </w:r>
      <w:r>
        <w:t xml:space="preserve">: 품질팀에서 제안 평가 기준에 따라 채택/미채택 판정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실행</w:t>
      </w:r>
      <w:r>
        <w:t xml:space="preserve">: 채택된 제안을 개선 과제로 등록하여 실행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보상</w:t>
      </w:r>
      <w:r>
        <w:t xml:space="preserve">: 채택·실행된 제안에 대해 포상 (사내 포상 규정에 따름)</w:t>
      </w:r>
    </w:p>
    <w:bookmarkEnd w:id="34"/>
    <w:bookmarkStart w:id="35" w:name="제안-평가-기준"/>
    <w:p>
      <w:pPr>
        <w:pStyle w:val="Heading3"/>
      </w:pPr>
      <w:r>
        <w:t xml:space="preserve">8.4.2 제안 평가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41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W w:w="6247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품질/안전 효과</w:t>
            </w:r>
          </w:p>
        </w:tc>
        <w:tc>
          <w:tcPr>
            <w:tcW w:w="624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30점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생산성/효율 효과</w:t>
            </w:r>
          </w:p>
        </w:tc>
        <w:tc>
          <w:tcPr>
            <w:tcW w:w="624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25점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원가 절감 효과</w:t>
            </w:r>
          </w:p>
        </w:tc>
        <w:tc>
          <w:tcPr/>
          <w:p>
            <w:pPr>
              <w:pStyle w:val="Compact"/>
            </w:pPr>
            <w:r>
              <w:t xml:space="preserve">20점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실현 가능성</w:t>
            </w:r>
          </w:p>
        </w:tc>
        <w:tc>
          <w:tcPr>
            <w:tcW w:w="624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15점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창의성/독창성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100점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채택 기준: 60점 이상</w:t>
      </w:r>
    </w:p>
    <w:p>
      <w:pPr>
        <w:pStyle w:val="Compact"/>
        <w:numPr>
          <w:ilvl w:val="0"/>
          <w:numId w:val="1005"/>
        </w:numPr>
      </w:pPr>
      <w:r>
        <w:t xml:space="preserve">우수 제안: 80점 이상 (특별 포상)</w:t>
      </w:r>
    </w:p>
    <w:bookmarkEnd w:id="35"/>
    <w:bookmarkEnd w:id="36"/>
    <w:bookmarkEnd w:id="37"/>
    <w:bookmarkStart w:id="45" w:name="항공우주-특수-요구사항"/>
    <w:p>
      <w:pPr>
        <w:pStyle w:val="Heading1"/>
      </w:pPr>
      <w:r>
        <w:t xml:space="preserve">9. 항공우주 특수 요구사항</w:t>
      </w:r>
    </w:p>
    <w:bookmarkStart w:id="38" w:name="프로세스-성과-개선-의무"/>
    <w:p>
      <w:pPr>
        <w:pStyle w:val="Heading2"/>
      </w:pPr>
      <w:r>
        <w:t xml:space="preserve">9.1 프로세스 성과 개선 의무</w:t>
      </w:r>
    </w:p>
    <w:p>
      <w:pPr>
        <w:pStyle w:val="FirstParagraph"/>
      </w:pPr>
      <w:r>
        <w:t xml:space="preserve">AS9100D 10.3은 조직이 품질경영시스템의 적합성, 충족성 및 효과성을 지속적으로 개선할 것을 요구한다. 항공우주 산업의 특수 요구사항: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51"/>
        <w:gridCol w:w="4168"/>
      </w:tblGrid>
      <w:tr>
        <w:trPr>
          <w:tblHeader w:val="on"/>
        </w:trPr>
        <w:tc>
          <w:tcPr>
            <w:tcW w:w="247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이행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적합성 개선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DPPM 감소 목표 설정 및 추적, 공정 능력(Cpk)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성과 개선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OTD 목표 달성, 리드 타임 단축, 납기 예측 정확도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효과성 개선</w:t>
            </w:r>
          </w:p>
        </w:tc>
        <w:tc>
          <w:tcPr/>
          <w:p>
            <w:pPr>
              <w:pStyle w:val="Compact"/>
            </w:pPr>
            <w:r>
              <w:t xml:space="preserve">내부심사 NCR 감소, 시정조치 유효성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고객만족 개선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CSI 향상, 고객 클레임 감소, 스코어카드 등급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공급망 성과 개선</w:t>
            </w:r>
          </w:p>
        </w:tc>
        <w:tc>
          <w:tcPr/>
          <w:p>
            <w:pPr>
              <w:pStyle w:val="Compact"/>
            </w:pPr>
            <w:r>
              <w:t xml:space="preserve">외부공급자 품질/납기 성과 향상</w:t>
            </w:r>
          </w:p>
        </w:tc>
      </w:tr>
    </w:tbl>
    <w:bookmarkEnd w:id="38"/>
    <w:bookmarkStart w:id="41" w:name="업계-모범사례-벤치마킹"/>
    <w:p>
      <w:pPr>
        <w:pStyle w:val="Heading2"/>
      </w:pPr>
      <w:r>
        <w:t xml:space="preserve">9.2 업계 모범사례 벤치마킹</w:t>
      </w:r>
    </w:p>
    <w:bookmarkStart w:id="39" w:name="벤치마킹-대상"/>
    <w:p>
      <w:pPr>
        <w:pStyle w:val="Heading3"/>
      </w:pPr>
      <w:r>
        <w:t xml:space="preserve">9.2.1 벤치마킹 대상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00"/>
        <w:gridCol w:w="4118"/>
        <w:gridCol w:w="19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벤치마킹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성과</w:t>
            </w:r>
          </w:p>
        </w:tc>
        <w:tc>
          <w:tcPr/>
          <w:p>
            <w:pPr>
              <w:pStyle w:val="Compact"/>
            </w:pPr>
            <w:r>
              <w:t xml:space="preserve">동종 항공우주 부품 제조업체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업계 보고서, 고객 정보, IAQG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기술</w:t>
            </w:r>
          </w:p>
        </w:tc>
        <w:tc>
          <w:tcPr/>
          <w:p>
            <w:pPr>
              <w:pStyle w:val="Compact"/>
            </w:pPr>
            <w:r>
              <w:t xml:space="preserve">업계 선진 제조 기술 (Lean, Industry 4.0)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 세미나, 전시회, 논문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시스템</w:t>
            </w:r>
          </w:p>
        </w:tc>
        <w:tc>
          <w:tcPr/>
          <w:p>
            <w:pPr>
              <w:pStyle w:val="Compact"/>
            </w:pPr>
            <w:r>
              <w:t xml:space="preserve">AS9100D 인증 우수 기업 사례</w:t>
            </w:r>
          </w:p>
        </w:tc>
        <w:tc>
          <w:tcPr/>
          <w:p>
            <w:pPr>
              <w:pStyle w:val="Compact"/>
            </w:pPr>
            <w:r>
              <w:t xml:space="preserve">인증기관 정보, 컨설팅, 업계 교류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관리</w:t>
            </w:r>
          </w:p>
        </w:tc>
        <w:tc>
          <w:tcPr/>
          <w:p>
            <w:pPr>
              <w:pStyle w:val="Compact"/>
            </w:pPr>
            <w:r>
              <w:t xml:space="preserve">항공우주 안전 관리 모범사례</w:t>
            </w:r>
          </w:p>
        </w:tc>
        <w:tc>
          <w:tcPr/>
          <w:p>
            <w:pPr>
              <w:pStyle w:val="Compact"/>
            </w:pPr>
            <w:r>
              <w:t xml:space="preserve">FAA/EASA 가이던스, 업계 기준</w:t>
            </w:r>
          </w:p>
        </w:tc>
      </w:tr>
    </w:tbl>
    <w:bookmarkEnd w:id="39"/>
    <w:bookmarkStart w:id="40" w:name="벤치마킹-프로세스"/>
    <w:p>
      <w:pPr>
        <w:pStyle w:val="Heading3"/>
      </w:pPr>
      <w:r>
        <w:t xml:space="preserve">9.2.2 벤치마킹 프로세스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대상 선정</w:t>
      </w:r>
      <w:r>
        <w:t xml:space="preserve">: 벤치마킹 대상 영역 및 비교 대상 결정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데이터 수집</w:t>
      </w:r>
      <w:r>
        <w:t xml:space="preserve">: 자사 현행 수준 및 벤치마킹 대상 성과 데이터 수집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격차 분석 (Gap Analysis)</w:t>
      </w:r>
      <w:r>
        <w:t xml:space="preserve">: 자사 성과와 모범사례 간 격차 분석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개선 과제 도출</w:t>
      </w:r>
      <w:r>
        <w:t xml:space="preserve">: 격차 해소를 위한 개선 과제 등록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실행 및 추적</w:t>
      </w:r>
      <w:r>
        <w:t xml:space="preserve">: 개선 과제 실행 후 격차 축소 확인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보고</w:t>
      </w:r>
      <w:r>
        <w:t xml:space="preserve">: 벤치마킹 결과를 경영검토 입력 자료로 활용</w:t>
      </w:r>
    </w:p>
    <w:bookmarkEnd w:id="40"/>
    <w:bookmarkEnd w:id="41"/>
    <w:bookmarkStart w:id="44" w:name="qms-성숙도-평가"/>
    <w:p>
      <w:pPr>
        <w:pStyle w:val="Heading2"/>
      </w:pPr>
      <w:r>
        <w:t xml:space="preserve">9.3 QMS 성숙도 평가</w:t>
      </w:r>
    </w:p>
    <w:bookmarkStart w:id="42" w:name="성숙도-수준-정의"/>
    <w:p>
      <w:pPr>
        <w:pStyle w:val="Heading3"/>
      </w:pPr>
      <w:r>
        <w:t xml:space="preserve">9.3.1 성숙도 수준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명칭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반응적 (Reactive)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문제 발생 후 대응, 체계적 개선 미흡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체계적 (Systematic)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기반 관리, PDCA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선제적 (Proactive)</w:t>
            </w:r>
          </w:p>
        </w:tc>
        <w:tc>
          <w:tcPr/>
          <w:p>
            <w:pPr>
              <w:pStyle w:val="Compact"/>
            </w:pPr>
            <w:r>
              <w:t xml:space="preserve">리스크 기반 사전 예방, 데이터 기반 의사결정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</w:pPr>
            <w:r>
              <w:t xml:space="preserve">혁신적 (Innovative)</w:t>
            </w:r>
          </w:p>
        </w:tc>
        <w:tc>
          <w:tcPr/>
          <w:p>
            <w:pPr>
              <w:pStyle w:val="Compact"/>
            </w:pPr>
            <w:r>
              <w:t xml:space="preserve">지속적 혁신, 업계 선도, Best-in-Class</w:t>
            </w:r>
          </w:p>
        </w:tc>
      </w:tr>
    </w:tbl>
    <w:bookmarkEnd w:id="42"/>
    <w:bookmarkStart w:id="43" w:name="성숙도-평가-방법"/>
    <w:p>
      <w:pPr>
        <w:pStyle w:val="Heading3"/>
      </w:pPr>
      <w:r>
        <w:t xml:space="preserve">9.3.2 성숙도 평가 방법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평가 주기</w:t>
      </w:r>
      <w:r>
        <w:t xml:space="preserve">: 연 1회 (경영검토 전 실시)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평가 기준</w:t>
      </w:r>
      <w:r>
        <w:t xml:space="preserve">: ISO 9004:2018 부속서 A</w:t>
      </w:r>
      <w:r>
        <w:t xml:space="preserve"> </w:t>
      </w:r>
      <w:r>
        <w:t xml:space="preserve">‘자기 평가 도구’</w:t>
      </w:r>
      <w:r>
        <w:t xml:space="preserve"> </w:t>
      </w:r>
      <w:r>
        <w:t xml:space="preserve">활용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평가 영역</w:t>
      </w:r>
      <w:r>
        <w:t xml:space="preserve">: 리더십, 전략 기획, 지원 관리, 운용 관리, 성과 평가, 개선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평가 결과</w:t>
      </w:r>
      <w:r>
        <w:t xml:space="preserve">: 영역별 성숙도 수준 및 종합 성숙도 수준 산출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목표</w:t>
      </w:r>
      <w:r>
        <w:t xml:space="preserve">: 매년 최소 1개 영역 이상 성숙도 수준 향상</w:t>
      </w:r>
    </w:p>
    <w:bookmarkEnd w:id="43"/>
    <w:bookmarkEnd w:id="44"/>
    <w:bookmarkEnd w:id="45"/>
    <w:bookmarkStart w:id="49" w:name="효과성-측정"/>
    <w:p>
      <w:pPr>
        <w:pStyle w:val="Heading1"/>
      </w:pPr>
      <w:r>
        <w:t xml:space="preserve">10. 효과성 측정</w:t>
      </w:r>
    </w:p>
    <w:bookmarkStart w:id="46" w:name="개선-효과-측정-방법"/>
    <w:p>
      <w:pPr>
        <w:pStyle w:val="Heading2"/>
      </w:pPr>
      <w:r>
        <w:t xml:space="preserve">10.1 개선 효과 측정 방법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정량적 효과</w:t>
            </w:r>
          </w:p>
        </w:tc>
        <w:tc>
          <w:tcPr/>
          <w:p>
            <w:pPr>
              <w:pStyle w:val="Compact"/>
            </w:pPr>
            <w:r>
              <w:t xml:space="preserve">개선 전/후 KPI 비교 (DPPM, OTD, Cpk, 수율 등)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목표 달성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정성적 효과</w:t>
            </w:r>
          </w:p>
        </w:tc>
        <w:tc>
          <w:tcPr/>
          <w:p>
            <w:pPr>
              <w:pStyle w:val="Compact"/>
            </w:pPr>
            <w:r>
              <w:t xml:space="preserve">프로세스 개선 정도, 업무 효율성, 직원 만족도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관련자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재무적 효과</w:t>
            </w:r>
          </w:p>
        </w:tc>
        <w:tc>
          <w:tcPr/>
          <w:p>
            <w:pPr>
              <w:pStyle w:val="Compact"/>
            </w:pPr>
            <w:r>
              <w:t xml:space="preserve">불량 비용 감소, 생산성 향상, 원가 절감</w:t>
            </w:r>
          </w:p>
        </w:tc>
        <w:tc>
          <w:tcPr/>
          <w:p>
            <w:pPr>
              <w:pStyle w:val="Compact"/>
            </w:pPr>
            <w:r>
              <w:t xml:space="preserve">금액 환산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</w:pPr>
            <w:r>
              <w:t xml:space="preserve">개선 효과 유지 기간 (3개월, 6개월, 12개월 추적)</w:t>
            </w:r>
          </w:p>
        </w:tc>
        <w:tc>
          <w:tcPr/>
          <w:p>
            <w:pPr>
              <w:pStyle w:val="Compact"/>
            </w:pPr>
            <w:r>
              <w:t xml:space="preserve">효과 지속 확인</w:t>
            </w:r>
          </w:p>
        </w:tc>
      </w:tr>
    </w:tbl>
    <w:bookmarkEnd w:id="46"/>
    <w:bookmarkStart w:id="47" w:name="개선-체계-성과-지표-kpi"/>
    <w:p>
      <w:pPr>
        <w:pStyle w:val="Heading2"/>
      </w:pPr>
      <w:r>
        <w:t xml:space="preserve">10.2 개선 체계 성과 지표 (KPI)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85"/>
        <w:gridCol w:w="3771"/>
        <w:gridCol w:w="226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KPI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과제 완료율</w:t>
            </w:r>
          </w:p>
        </w:tc>
        <w:tc>
          <w:tcPr/>
          <w:p>
            <w:pPr>
              <w:pStyle w:val="Compact"/>
            </w:pPr>
            <w:r>
              <w:t xml:space="preserve">(완료 과제 수 ÷ 등록 과제 수) × 100%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≥ 80% (연간)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과제 목표 달성률</w:t>
            </w:r>
          </w:p>
        </w:tc>
        <w:tc>
          <w:tcPr/>
          <w:p>
            <w:pPr>
              <w:pStyle w:val="Compact"/>
            </w:pPr>
            <w:r>
              <w:t xml:space="preserve">(목표 달성 과제 ÷ 완료 과제) × 100%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≥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Kaizen 제안 건수</w:t>
            </w:r>
          </w:p>
        </w:tc>
        <w:tc>
          <w:tcPr/>
          <w:p>
            <w:pPr>
              <w:pStyle w:val="Compact"/>
            </w:pPr>
            <w:r>
              <w:t xml:space="preserve">연간 전 임직원 제안 건수</w:t>
            </w:r>
          </w:p>
        </w:tc>
        <w:tc>
          <w:tcPr/>
          <w:p>
            <w:pPr>
              <w:pStyle w:val="Compact"/>
            </w:pPr>
            <w:r>
              <w:t xml:space="preserve">≥ 인원 수 × 1건/년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Kaizen 채택률</w:t>
            </w:r>
          </w:p>
        </w:tc>
        <w:tc>
          <w:tcPr/>
          <w:p>
            <w:pPr>
              <w:pStyle w:val="Compact"/>
            </w:pPr>
            <w:r>
              <w:t xml:space="preserve">(채택 건수 ÷ 제안 건수) × 100%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효과 금액</w:t>
            </w:r>
          </w:p>
        </w:tc>
        <w:tc>
          <w:tcPr/>
          <w:p>
            <w:pPr>
              <w:pStyle w:val="Compact"/>
            </w:pPr>
            <w:r>
              <w:t xml:space="preserve">연간 개선 활동의 재무적 효과 합계</w:t>
            </w:r>
          </w:p>
        </w:tc>
        <w:tc>
          <w:tcPr/>
          <w:p>
            <w:pPr>
              <w:pStyle w:val="Compact"/>
            </w:pPr>
            <w:r>
              <w:t xml:space="preserve">전년 대비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성숙도</w:t>
            </w:r>
          </w:p>
        </w:tc>
        <w:tc>
          <w:tcPr/>
          <w:p>
            <w:pPr>
              <w:pStyle w:val="Compact"/>
            </w:pPr>
            <w:r>
              <w:t xml:space="preserve">성숙도 평가 종합 점수</w:t>
            </w:r>
          </w:p>
        </w:tc>
        <w:tc>
          <w:tcPr/>
          <w:p>
            <w:pPr>
              <w:pStyle w:val="Compact"/>
            </w:pPr>
            <w:r>
              <w:t xml:space="preserve">전년 대비 향상</w:t>
            </w:r>
          </w:p>
        </w:tc>
      </w:tr>
    </w:tbl>
    <w:bookmarkEnd w:id="47"/>
    <w:bookmarkStart w:id="48" w:name="효과성-미달-시-조치"/>
    <w:p>
      <w:pPr>
        <w:pStyle w:val="Heading2"/>
      </w:pPr>
      <w:r>
        <w:t xml:space="preserve">10.3 효과성 미달 시 조치</w:t>
      </w:r>
    </w:p>
    <w:p>
      <w:pPr>
        <w:pStyle w:val="Compact"/>
        <w:numPr>
          <w:ilvl w:val="0"/>
          <w:numId w:val="1008"/>
        </w:numPr>
      </w:pPr>
      <w:r>
        <w:t xml:space="preserve">개선 과제가 목표 미달인 경우: 원인 분석 후 추가 조치 또는 과제 재기획</w:t>
      </w:r>
    </w:p>
    <w:p>
      <w:pPr>
        <w:pStyle w:val="Compact"/>
        <w:numPr>
          <w:ilvl w:val="0"/>
          <w:numId w:val="1008"/>
        </w:numPr>
      </w:pPr>
      <w:r>
        <w:t xml:space="preserve">개선 효과가 지속되지 않는 경우: 표준화 수준 재점검, 교육 강화, 모니터링 강화</w:t>
      </w:r>
    </w:p>
    <w:p>
      <w:pPr>
        <w:pStyle w:val="Compact"/>
        <w:numPr>
          <w:ilvl w:val="0"/>
          <w:numId w:val="1008"/>
        </w:numPr>
      </w:pPr>
      <w:r>
        <w:t xml:space="preserve">개선 체계 KPI가 목표 미달인 경우: 경영검토에서 원인 분석 및 대책 결정</w:t>
      </w:r>
    </w:p>
    <w:bookmarkEnd w:id="48"/>
    <w:bookmarkEnd w:id="49"/>
    <w:bookmarkStart w:id="52" w:name="경영검토-보고"/>
    <w:p>
      <w:pPr>
        <w:pStyle w:val="Heading1"/>
      </w:pPr>
      <w:r>
        <w:t xml:space="preserve">11. 경영검토 보고</w:t>
      </w:r>
    </w:p>
    <w:bookmarkStart w:id="50" w:name="보고-내용-qp-904-연계"/>
    <w:p>
      <w:pPr>
        <w:pStyle w:val="Heading2"/>
      </w:pPr>
      <w:r>
        <w:t xml:space="preserve">11.1 보고 내용 (QP-904 연계)</w:t>
      </w:r>
    </w:p>
    <w:p>
      <w:pPr>
        <w:pStyle w:val="FirstParagraph"/>
      </w:pPr>
      <w:r>
        <w:t xml:space="preserve">경영검토 시 다음 지속적 개선 데이터를 입력 자료로 제출한다: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과제 현황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등록/진행/완료/종결 건수, 완료율, 목표 달성률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개선 성과</w:t>
            </w:r>
          </w:p>
        </w:tc>
        <w:tc>
          <w:tcPr/>
          <w:p>
            <w:pPr>
              <w:pStyle w:val="Compact"/>
            </w:pPr>
            <w:r>
              <w:t xml:space="preserve">핵심 개선 과제의 정량적/정성적 성과</w:t>
            </w:r>
          </w:p>
        </w:tc>
        <w:tc>
          <w:tcPr/>
          <w:p>
            <w:pPr>
              <w:pStyle w:val="Compact"/>
            </w:pPr>
            <w:r>
              <w:t xml:space="preserve">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Kaizen 활동 현황</w:t>
            </w:r>
          </w:p>
        </w:tc>
        <w:tc>
          <w:tcPr/>
          <w:p>
            <w:pPr>
              <w:pStyle w:val="Compact"/>
            </w:pPr>
            <w:r>
              <w:t xml:space="preserve">제안 건수, 채택률, 실행 현황, 포상 현황</w:t>
            </w:r>
          </w:p>
        </w:tc>
        <w:tc>
          <w:tcPr/>
          <w:p>
            <w:pPr>
              <w:pStyle w:val="Compact"/>
            </w:pPr>
            <w:r>
              <w:t xml:space="preserve">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성숙도 평가 결과</w:t>
            </w:r>
          </w:p>
        </w:tc>
        <w:tc>
          <w:tcPr/>
          <w:p>
            <w:pPr>
              <w:pStyle w:val="Compact"/>
            </w:pPr>
            <w:r>
              <w:t xml:space="preserve">영역별 성숙도 수준, 전년 대비 변화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벤치마킹 결과</w:t>
            </w:r>
          </w:p>
        </w:tc>
        <w:tc>
          <w:tcPr/>
          <w:p>
            <w:pPr>
              <w:pStyle w:val="Compact"/>
            </w:pPr>
            <w:r>
              <w:t xml:space="preserve">격차 분석 결과, 개선 과제 도출 현황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재무적 효과</w:t>
            </w:r>
          </w:p>
        </w:tc>
        <w:tc>
          <w:tcPr/>
          <w:p>
            <w:pPr>
              <w:pStyle w:val="Compact"/>
            </w:pPr>
            <w:r>
              <w:t xml:space="preserve">개선 활동 총 비용 절감/생산성 향상 금액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차기 CIP (개선 계획)</w:t>
            </w:r>
          </w:p>
        </w:tc>
        <w:tc>
          <w:tcPr/>
          <w:p>
            <w:pPr>
              <w:pStyle w:val="Compact"/>
            </w:pPr>
            <w:r>
              <w:t xml:space="preserve">차기 연간/반기 개선 계획(안)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</w:tbl>
    <w:bookmarkEnd w:id="50"/>
    <w:bookmarkStart w:id="51" w:name="경영검토-출력-반영"/>
    <w:p>
      <w:pPr>
        <w:pStyle w:val="Heading2"/>
      </w:pPr>
      <w:r>
        <w:t xml:space="preserve">11.2 경영검토 출력 반영</w:t>
      </w:r>
    </w:p>
    <w:p>
      <w:pPr>
        <w:pStyle w:val="FirstParagraph"/>
      </w:pPr>
      <w:r>
        <w:t xml:space="preserve">경영검토에서 결정된 지속적 개선 관련 사항:</w:t>
      </w:r>
      <w:r>
        <w:t xml:space="preserve"> </w:t>
      </w:r>
      <w:r>
        <w:t xml:space="preserve">- 연간 개선 방향 및 중점 개선 영역 결정</w:t>
      </w:r>
      <w:r>
        <w:t xml:space="preserve"> </w:t>
      </w:r>
      <w:r>
        <w:t xml:space="preserve">- 개선 활동 자원(인력, 예산, 설비) 배분 승인</w:t>
      </w:r>
      <w:r>
        <w:t xml:space="preserve"> </w:t>
      </w:r>
      <w:r>
        <w:t xml:space="preserve">- 품질목표 재설정 시 개선 목표 연계 (QP-602)</w:t>
      </w:r>
      <w:r>
        <w:t xml:space="preserve"> </w:t>
      </w:r>
      <w:r>
        <w:t xml:space="preserve">- 조직 역량 강화 방안 (교육 계획 연계, QP-703)</w:t>
      </w:r>
      <w:r>
        <w:t xml:space="preserve"> </w:t>
      </w:r>
      <w:r>
        <w:t xml:space="preserve">- QMS 성숙도 목표 수준 설정</w:t>
      </w:r>
    </w:p>
    <w:bookmarkEnd w:id="51"/>
    <w:bookmarkEnd w:id="52"/>
    <w:bookmarkStart w:id="53" w:name="기록-관리"/>
    <w:p>
      <w:pPr>
        <w:pStyle w:val="Heading1"/>
      </w:pPr>
      <w:r>
        <w:t xml:space="preserve">12.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지속적 개선 계획(CIP)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(문서관리시스템)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과제 대장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과제별 실행 계획서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과제 완료/종결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Kaizen 제안서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Kaizen 평가/포상 기록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품질팀 + HR_GA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성숙도 평가 보고서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벤치마킹 분석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 Learned 기록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개선 관련 조치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 (QP-904 연계)</w:t>
            </w:r>
          </w:p>
        </w:tc>
      </w:tr>
    </w:tbl>
    <w:bookmarkEnd w:id="53"/>
    <w:bookmarkStart w:id="56" w:name="관련-문서-및-양식"/>
    <w:p>
      <w:pPr>
        <w:pStyle w:val="Heading1"/>
      </w:pPr>
      <w:r>
        <w:t xml:space="preserve">13. 관련 문서 및 양식</w:t>
      </w:r>
    </w:p>
    <w:bookmarkStart w:id="54" w:name="관련-절차서"/>
    <w:p>
      <w:pPr>
        <w:pStyle w:val="Heading2"/>
      </w:pPr>
      <w:r>
        <w:t xml:space="preserve">13.1 관련 절차서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346"/>
        <w:gridCol w:w="293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연계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 및 기회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기회 식별, 리스크 기반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QP-602</w:t>
            </w:r>
          </w:p>
        </w:tc>
        <w:tc>
          <w:tcPr/>
          <w:p>
            <w:pPr>
              <w:pStyle w:val="Compact"/>
            </w:pPr>
            <w:r>
              <w:t xml:space="preserve">품질목표 수립/달성 기획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품질목표와 개선 목표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QP-703</w:t>
            </w:r>
          </w:p>
        </w:tc>
        <w:tc>
          <w:tcPr/>
          <w:p>
            <w:pPr>
              <w:pStyle w:val="Compact"/>
            </w:pPr>
            <w:r>
              <w:t xml:space="preserve">역량/교육훈련 관리</w:t>
            </w:r>
          </w:p>
        </w:tc>
        <w:tc>
          <w:tcPr/>
          <w:p>
            <w:pPr>
              <w:pStyle w:val="Compact"/>
            </w:pPr>
            <w:r>
              <w:t xml:space="preserve">개선 도구 교육, 조직 역량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QP-901</w:t>
            </w:r>
          </w:p>
        </w:tc>
        <w:tc>
          <w:tcPr/>
          <w:p>
            <w:pPr>
              <w:pStyle w:val="Compact"/>
            </w:pPr>
            <w:r>
              <w:t xml:space="preserve">모니터링, 측정, 분석 및 평가</w:t>
            </w:r>
          </w:p>
        </w:tc>
        <w:tc>
          <w:tcPr/>
          <w:p>
            <w:pPr>
              <w:pStyle w:val="Compact"/>
            </w:pPr>
            <w:r>
              <w:t xml:space="preserve">데이터 분석 기반 개선 기회 도출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QP-902</w:t>
            </w:r>
          </w:p>
        </w:tc>
        <w:tc>
          <w:tcPr/>
          <w:p>
            <w:pPr>
              <w:pStyle w:val="Compact"/>
            </w:pPr>
            <w:r>
              <w:t xml:space="preserve">고객만족도 측정</w:t>
            </w:r>
          </w:p>
        </w:tc>
        <w:tc>
          <w:tcPr/>
          <w:p>
            <w:pPr>
              <w:pStyle w:val="Compact"/>
            </w:pPr>
            <w:r>
              <w:t xml:space="preserve">고객 피드백 기반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</w:t>
            </w:r>
          </w:p>
        </w:tc>
        <w:tc>
          <w:tcPr/>
          <w:p>
            <w:pPr>
              <w:pStyle w:val="Compact"/>
            </w:pPr>
            <w:r>
              <w:t xml:space="preserve">심사 발견사항 기반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</w:t>
            </w:r>
          </w:p>
        </w:tc>
        <w:tc>
          <w:tcPr/>
          <w:p>
            <w:pPr>
              <w:pStyle w:val="Compact"/>
            </w:pPr>
            <w:r>
              <w:t xml:space="preserve">개선 성과 보고, 자원 배분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 및 시정조치 관리</w:t>
            </w:r>
          </w:p>
        </w:tc>
        <w:tc>
          <w:tcPr/>
          <w:p>
            <w:pPr>
              <w:pStyle w:val="Compact"/>
            </w:pPr>
            <w:r>
              <w:t xml:space="preserve">시정조치와 개선 활동 연계</w:t>
            </w:r>
          </w:p>
        </w:tc>
      </w:tr>
    </w:tbl>
    <w:bookmarkEnd w:id="54"/>
    <w:bookmarkStart w:id="55" w:name="양식-목록"/>
    <w:p>
      <w:pPr>
        <w:pStyle w:val="Heading2"/>
      </w:pPr>
      <w:r>
        <w:t xml:space="preserve">13.2 양식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92"/>
        <w:gridCol w:w="3727"/>
      </w:tblGrid>
      <w:tr>
        <w:trPr>
          <w:tblHeader w:val="on"/>
        </w:trPr>
        <w:tc>
          <w:tcPr>
            <w:tcW w:w="1929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W w:w="6859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QF-1002-01</w:t>
            </w:r>
          </w:p>
        </w:tc>
        <w:tc>
          <w:tcPr>
            <w:tcW w:w="685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연간 지속적 개선 계획서 (CIP, Continual Improvement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QF-1002-02</w:t>
            </w:r>
          </w:p>
        </w:tc>
        <w:tc>
          <w:tcPr>
            <w:tcW w:w="685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과제 등록/추적 대장 (Improvement Task Register)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QF-1002-03</w:t>
            </w:r>
          </w:p>
        </w:tc>
        <w:tc>
          <w:tcPr/>
          <w:p>
            <w:pPr>
              <w:pStyle w:val="Compact"/>
            </w:pPr>
            <w:r>
              <w:t xml:space="preserve">Kaizen 제안서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QF-1002-04</w:t>
            </w:r>
          </w:p>
        </w:tc>
        <w:tc>
          <w:tcPr>
            <w:tcW w:w="685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과제 실행 계획서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QF-1002-05</w:t>
            </w:r>
          </w:p>
        </w:tc>
        <w:tc>
          <w:tcPr/>
          <w:p>
            <w:pPr>
              <w:pStyle w:val="Compact"/>
            </w:pPr>
            <w:r>
              <w:t xml:space="preserve">개선 과제 완료/종결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QF-1002-06</w:t>
            </w:r>
          </w:p>
        </w:tc>
        <w:tc>
          <w:tcPr/>
          <w:p>
            <w:pPr>
              <w:pStyle w:val="Compact"/>
            </w:pPr>
            <w:r>
              <w:t xml:space="preserve">QMS 성숙도 평가서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QF-1002-07</w:t>
            </w:r>
          </w:p>
        </w:tc>
        <w:tc>
          <w:tcPr/>
          <w:p>
            <w:pPr>
              <w:pStyle w:val="Compact"/>
            </w:pPr>
            <w:r>
              <w:t xml:space="preserve">벤치마킹 분석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QF-1002-08</w:t>
            </w:r>
          </w:p>
        </w:tc>
        <w:tc>
          <w:tcPr/>
          <w:p>
            <w:pPr>
              <w:pStyle w:val="Compact"/>
            </w:pPr>
            <w:r>
              <w:t xml:space="preserve">Lesson Learned 기록서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QF-1002-09</w:t>
            </w:r>
          </w:p>
        </w:tc>
        <w:tc>
          <w:tcPr/>
          <w:p>
            <w:pPr>
              <w:pStyle w:val="Compact"/>
            </w:pPr>
            <w:r>
              <w:t xml:space="preserve">Kaizen 평가/포상 기록서</w:t>
            </w:r>
          </w:p>
        </w:tc>
      </w:tr>
    </w:tbl>
    <w:p>
      <w:pPr>
        <w:pStyle w:val="BlockText"/>
      </w:pPr>
      <w:r>
        <w:rPr>
          <w:b/>
          <w:bCs/>
        </w:rPr>
        <w:t xml:space="preserve">문서 끝 — QP-1002 Rev. 0</w:t>
      </w:r>
    </w:p>
    <w:bookmarkEnd w:id="55"/>
    <w:bookmarkEnd w:id="56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지속적 개선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지속적 개선 관리 절차서</w:t>
    </w:r>
    <w:r>
      <w:tab/>
    </w:r>
    <w:r>
      <w:rPr>
        <w:sz w:val="18"/>
      </w:rPr>
      <w:t>QP-1002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지속적 개선 관리 절차서</dc:title>
  <dc:creator/>
  <cp:keywords/>
  <dcterms:created xsi:type="dcterms:W3CDTF">2026-04-10T08:21:03Z</dcterms:created>
  <dcterms:modified xsi:type="dcterms:W3CDTF">2026-04-10T08:21:03Z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QP-1002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