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리스크 및 기회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QP-601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리스크 및 기회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CellMar>
          <w:left w:w="108" w:type="dxa"/>
          <w:right w:w="108" w:type="dxa"/>
        </w:tblCellMa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55f4c7b43cb68e46d6b8684fdbc75e907dcab93">
        <w:r>
          <w:rPr>
            <w:rStyle w:val="Hyperlink"/>
          </w:rPr>
          <w:t xml:space="preserve">리스크 및 기회 관리 프로세스</w:t>
        </w:r>
      </w:hyperlink>
    </w:p>
    <w:p>
      <w:pPr>
        <w:pStyle w:val="Compact"/>
        <w:numPr>
          <w:ilvl w:val="0"/>
          <w:numId w:val="1001"/>
        </w:numPr>
      </w:pPr>
      <w:hyperlink w:anchor="X70557581647523a47993ed0cf6b1162e6b55c4d">
        <w:r>
          <w:rPr>
            <w:rStyle w:val="Hyperlink"/>
          </w:rPr>
          <w:t xml:space="preserve">리스크 평가 및 우선순위</w:t>
        </w:r>
      </w:hyperlink>
    </w:p>
    <w:p>
      <w:pPr>
        <w:pStyle w:val="Compact"/>
        <w:numPr>
          <w:ilvl w:val="0"/>
          <w:numId w:val="1001"/>
        </w:numPr>
      </w:pPr>
      <w:hyperlink w:anchor="X118bdf220df9a181d54bea69ef137e7a77aa667">
        <w:r>
          <w:rPr>
            <w:rStyle w:val="Hyperlink"/>
          </w:rPr>
          <w:t xml:space="preserve">리스크 대응 및 기회 활용</w:t>
        </w:r>
      </w:hyperlink>
    </w:p>
    <w:p>
      <w:pPr>
        <w:pStyle w:val="Compact"/>
        <w:numPr>
          <w:ilvl w:val="0"/>
          <w:numId w:val="1001"/>
        </w:numPr>
      </w:pPr>
      <w:hyperlink w:anchor="X33f00afd52482b3ba14c12030731ec33973e627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61f939ac54a5e2a51e5260e7c89ad6a43078e9e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59266ae113f54c98872663b14ccb539e91581d5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VINA가 QMS 기획 시 조직 상황과 이해관계자 요구사항을 고려하여 다루어야 할 리스크와 기회를 결정하고, 체계적으로 관리하기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6.1 요구사항에 따른 리스크 기반 사고(Risk-Based Thinking)의 체계적 적용</w:t>
      </w:r>
      <w:r>
        <w:t xml:space="preserve"> </w:t>
      </w:r>
      <w:r>
        <w:t xml:space="preserve">- QMS의 의도된 결과 달성을 보장하기 위한 리스크/기회의 식별 및 대응</w:t>
      </w:r>
      <w:r>
        <w:t xml:space="preserve"> </w:t>
      </w:r>
      <w:r>
        <w:t xml:space="preserve">- 바람직한 영향 강화 및 바람직하지 않은 영향의 예방/감소</w:t>
      </w:r>
      <w:r>
        <w:t xml:space="preserve"> </w:t>
      </w:r>
      <w:r>
        <w:t xml:space="preserve">- CAR-016 (리스크/기회 관리 체계 OFI) 개선 반영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운영적/기술적 리스크(AS9100D 8.1.2, FMEA 등)는 QP-802에서 관리한다. 본 절차서는</w:t>
      </w:r>
      <w:r>
        <w:t xml:space="preserve"> </w:t>
      </w:r>
      <w:r>
        <w:rPr>
          <w:b/>
          <w:bCs/>
        </w:rPr>
        <w:t xml:space="preserve">전략적·시스템적 리스크와 기회</w:t>
      </w:r>
      <w:r>
        <w:t xml:space="preserve">(6.1)에 집중한다.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 전반에 걸친 전략적·시스템적 리스크와 기회에 적용한다.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247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전략적 리스크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시장, 경쟁, 규제, 기술 변화 등 외부 요인에 따른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리스크</w:t>
            </w:r>
          </w:p>
        </w:tc>
        <w:tc>
          <w:tcPr>
            <w:tcW w:w="6312" w:type="dxa"/>
          </w:tcPr>
          <w:p>
            <w:pPr>
              <w:pStyle w:val="Compact"/>
            </w:pPr>
            <w:r>
              <w:t xml:space="preserve">프로세스, 인적자원, 인프라 등 내부 요인에 따른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규정 준수 리스크</w:t>
            </w:r>
          </w:p>
        </w:tc>
        <w:tc>
          <w:tcPr/>
          <w:p>
            <w:pPr>
              <w:pStyle w:val="Compact"/>
            </w:pPr>
            <w:r>
              <w:t xml:space="preserve">법규, 규격, 인증 요구사항 미충족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기회</w:t>
            </w:r>
          </w:p>
        </w:tc>
        <w:tc>
          <w:tcPr>
            <w:tcW w:w="631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개선, 시장 확대, 역량 강화 등의 기회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3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5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(6.1항)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W w:w="63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(6.1항)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31000:2018</w:t>
            </w:r>
          </w:p>
        </w:tc>
        <w:tc>
          <w:tcPr/>
          <w:p>
            <w:pPr>
              <w:pStyle w:val="Compact"/>
            </w:pPr>
            <w:r>
              <w:t xml:space="preserve">리스크 관리 — 지침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W w:w="635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 §6.1 리스크 및 기회를 다루는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QP-401</w:t>
            </w:r>
          </w:p>
        </w:tc>
        <w:tc>
          <w:tcPr/>
          <w:p>
            <w:pPr>
              <w:pStyle w:val="Compact"/>
            </w:pPr>
            <w:r>
              <w:t xml:space="preserve">조직 상황/이해관계자 관리 (리스크 식별 입력)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운영 리스크 관리 (FMEA) — 운영 리스크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(Risk)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불확실성의 영향. 목표에 대한 긍정적 또는 부정적 편차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기회 (Opportunity)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목표 달성에 유리한 상황 또는 여건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기반 사고 (Risk-Based Thinking)</w:t>
            </w:r>
          </w:p>
        </w:tc>
        <w:tc>
          <w:tcPr/>
          <w:p>
            <w:pPr>
              <w:pStyle w:val="Compact"/>
            </w:pPr>
            <w:r>
              <w:t xml:space="preserve">QMS의 모든 측면에서 리스크를 고려하는 사고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식별 (Risk Identification)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리스크를 찾고, 인식하고, 기술하는 프로세스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평가 (Risk Assessment)</w:t>
            </w:r>
          </w:p>
        </w:tc>
        <w:tc>
          <w:tcPr/>
          <w:p>
            <w:pPr>
              <w:pStyle w:val="Compact"/>
            </w:pPr>
            <w:r>
              <w:t xml:space="preserve">리스크의 성격과 수준을 이해하고 우선순위를 결정하는 프로세스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대응 (Risk Treatment)</w:t>
            </w:r>
          </w:p>
        </w:tc>
        <w:tc>
          <w:tcPr/>
          <w:p>
            <w:pPr>
              <w:pStyle w:val="Compact"/>
            </w:pPr>
            <w:r>
              <w:t xml:space="preserve">리스크를 수정하기 위한 옵션을 선택하고 실행하는 프로세스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등록부 (Risk Register)</w:t>
            </w:r>
          </w:p>
        </w:tc>
        <w:tc>
          <w:tcPr/>
          <w:p>
            <w:pPr>
              <w:pStyle w:val="Compact"/>
            </w:pPr>
            <w:r>
              <w:t xml:space="preserve">식별된 리스크/기회와 그 평가, 대응 조치를 기록하는 문서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59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대표이사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리스크/기회 관리 방침 승인; 중대 리스크 대응 의사결정; 자원 배분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리스크/기회 관리 프로세스 총괄; 리스크 등록부 최종 검토; 경영검토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각 부서장</w:t>
            </w:r>
          </w:p>
        </w:tc>
        <w:tc>
          <w:tcPr/>
          <w:p>
            <w:pPr>
              <w:pStyle w:val="Compact"/>
            </w:pPr>
            <w:r>
              <w:t xml:space="preserve">소관 영역의 리스크/기회 식별; 대응 조치 수립 및 실행; 리스크 모니터링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 등록부 유지/관리; 리스크 평가 워크숍 촉진; 데이터 분석/보고</w:t>
            </w:r>
          </w:p>
        </w:tc>
      </w:tr>
    </w:tbl>
    <w:bookmarkEnd w:id="18"/>
    <w:bookmarkStart w:id="23" w:name="리스크-및-기회-관리-프로세스"/>
    <w:p>
      <w:pPr>
        <w:pStyle w:val="Heading1"/>
      </w:pPr>
      <w:r>
        <w:t xml:space="preserve">6. 리스크 및 기회 관리 프로세스</w:t>
      </w:r>
    </w:p>
    <w:bookmarkStart w:id="19" w:name="프로세스-흐름"/>
    <w:p>
      <w:pPr>
        <w:pStyle w:val="Heading2"/>
      </w:pPr>
      <w:r>
        <w:t xml:space="preserve">6.1 프로세스 흐름</w:t>
      </w:r>
    </w:p>
    <w:tbl>
      <w:tblPr>
        <w:tblLook w:firstColumn="1" w:firstRow="1" w:lastColumn="0" w:lastRow="0" w:noHBand="0" w:noVBand="1" w:val="04A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8788"/>
      </w:tblGrid>
      <w:tr>
        <w:tc>
          <w:tcPr>
            <w:tcW w:w="8788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① 상황 파악 (Context)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QP-401 외부/내부 이슈, 이해관계자 요구사항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② 리스크/기회 식별 (Identify)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브레인스토밍, 체크리스트, SWOT, 이해관계자 분석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③ 리스크 분석 (Analyze)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발생 가능성 × 영향도 평가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④ 리스크 평가 (Evaluate)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리스크 수준 결정, 우선순위 설정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⑤ 리스크 대응/기회 활용 (Treat)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대응 전략 선택, 실행 계획 수립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⑥ 실행 및 모니터링 (Implement &amp; Monitor)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│  조치 실행, 잔여 리스크 평가, 정기 재검토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▼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⑦ 보고 및 의사소통 (Report)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NanumGothicCoding"/>
                <w:sz w:val="18"/>
                <w:szCs w:val="18"/>
              </w:rPr>
              <w:t xml:space="preserve">    경영검토 입력, 이해관계자 소통</w:t>
            </w:r>
          </w:p>
        </w:tc>
      </w:tr>
    </w:tbl>
    <w:bookmarkEnd w:id="19"/>
    <w:bookmarkStart w:id="21" w:name="리스크기회-식별-방법"/>
    <w:p>
      <w:pPr>
        <w:pStyle w:val="Heading2"/>
      </w:pPr>
      <w:r>
        <w:t xml:space="preserve">6.2 리스크/기회 식별 방법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300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방법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SWOT 분석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QP-401 결과 활용 — 위협(T)→리스크, 기회(O)→기회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부서별 리스크 통계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각 공정/부서에서 발생 가능한 리스크를 리스크 분석 양식(Bảng phân tích rủi ro các bộ phận)에 기재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분석 (원인 분석)</w:t>
            </w:r>
          </w:p>
        </w:tc>
        <w:tc>
          <w:tcPr/>
          <w:p>
            <w:pPr>
              <w:pStyle w:val="Compact"/>
            </w:pPr>
            <w:r>
              <w:t xml:space="preserve">조장급 이상이 리스크 원인을 분석하여 양식에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체크리스트</w:t>
            </w:r>
          </w:p>
        </w:tc>
        <w:tc>
          <w:tcPr>
            <w:tcW w:w="57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조항별 리스크 체크리스트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이해관계자 분석</w:t>
            </w:r>
          </w:p>
        </w:tc>
        <w:tc>
          <w:tcPr/>
          <w:p>
            <w:pPr>
              <w:pStyle w:val="Compact"/>
            </w:pPr>
            <w:r>
              <w:t xml:space="preserve">이해관계자 요구 미충족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이력 분석</w:t>
            </w:r>
          </w:p>
        </w:tc>
        <w:tc>
          <w:tcPr/>
          <w:p>
            <w:pPr>
              <w:pStyle w:val="Compact"/>
            </w:pPr>
            <w:r>
              <w:t xml:space="preserve">과거 부적합, 고객 불만, 심사 결과에서 패턴 추출</w:t>
            </w:r>
          </w:p>
        </w:tc>
      </w:tr>
    </w:tbl>
    <w:bookmarkStart w:id="20" w:name="mc-주요-관리-리스크-사례-기존-iso-운영-기반"/>
    <w:p>
      <w:pPr>
        <w:pStyle w:val="Heading3"/>
      </w:pPr>
      <w:r>
        <w:t xml:space="preserve">M&amp;C 주요 관리 리스크 사례 (기존 ISO 운영 기반)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950"/>
        <w:gridCol w:w="1742"/>
        <w:gridCol w:w="1742"/>
        <w:gridCol w:w="1267"/>
        <w:gridCol w:w="950"/>
        <w:gridCol w:w="126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발생가능성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인력 이직률 높음 — 생산 불안정, 교육 소요 증가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인사부 (Ms. Thơm)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공급자 품질 불안정, 베트남 내 공급자 부족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구매부 (Ms. Hoa)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언어·문화 차이 — 한국 경영진↔베트남 직원 의사소통 어려움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인사부 (Ms. Thơm)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전염병·자연재해 — 원자재 수급 및 출하 차질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구매부 (Ms. Hoa)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고객·이해관계자 요구 미충족 — 계약 위반, 평판 손상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품질팀 (Ms. Hậu)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인프라 노후화 — 장비 고장으로 생산 중단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품질팀 (Ms. Hậu)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IT 시스템 의존성 — 데이터 손실 및 시스템 장애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IT부 (Mr. Thuần)</w:t>
            </w:r>
          </w:p>
        </w:tc>
      </w:tr>
    </w:tbl>
    <w:bookmarkEnd w:id="20"/>
    <w:bookmarkEnd w:id="21"/>
    <w:bookmarkStart w:id="22" w:name="리스크기회-식별-시기"/>
    <w:p>
      <w:pPr>
        <w:pStyle w:val="Heading2"/>
      </w:pPr>
      <w:r>
        <w:t xml:space="preserve">6.3 리스크/기회 식별 시기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195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시기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연초 (1월)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연간 리스크/기회 전체 검토 및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 전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 입력을 위한 리스크 현황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중대 변화 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조직, 시장, 규제, 고객 요구 변화 시 즉시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분기</w:t>
            </w:r>
          </w:p>
        </w:tc>
        <w:tc>
          <w:tcPr>
            <w:tcW w:w="6832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 등록부 상태 검토</w:t>
            </w:r>
          </w:p>
        </w:tc>
      </w:tr>
    </w:tbl>
    <w:bookmarkEnd w:id="22"/>
    <w:bookmarkEnd w:id="23"/>
    <w:bookmarkStart w:id="29" w:name="리스크-평가-및-우선순위"/>
    <w:p>
      <w:pPr>
        <w:pStyle w:val="Heading1"/>
      </w:pPr>
      <w:r>
        <w:t xml:space="preserve">7. 리스크 평가 및 우선순위</w:t>
      </w:r>
    </w:p>
    <w:bookmarkStart w:id="27" w:name="리스크-평가-매트릭스"/>
    <w:p>
      <w:pPr>
        <w:pStyle w:val="Heading2"/>
      </w:pPr>
      <w:r>
        <w:t xml:space="preserve">7.1 리스크 평가 매트릭스</w:t>
      </w:r>
    </w:p>
    <w:bookmarkStart w:id="24" w:name="발생-가능성-likelihood"/>
    <w:p>
      <w:pPr>
        <w:pStyle w:val="Heading3"/>
      </w:pPr>
      <w:r>
        <w:t xml:space="preserve">발생 가능성 (Likelihood)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거의 확실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1년 이내 발생이 거의 확실 (&gt;90%)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1년 이내 발생 가능성 높음 (60~90%)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1년 이내 발생할 수도 있음 (30~60%)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발생 가능성 낮음 (10~30%)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희박</w:t>
            </w:r>
          </w:p>
        </w:tc>
        <w:tc>
          <w:tcPr/>
          <w:p>
            <w:pPr>
              <w:pStyle w:val="Compact"/>
            </w:pPr>
            <w:r>
              <w:t xml:space="preserve">발생 가능성 매우 희박 (&lt;10%)</w:t>
            </w:r>
          </w:p>
        </w:tc>
      </w:tr>
    </w:tbl>
    <w:bookmarkEnd w:id="24"/>
    <w:bookmarkStart w:id="25" w:name="영향도-impact"/>
    <w:p>
      <w:pPr>
        <w:pStyle w:val="Heading3"/>
      </w:pPr>
      <w:r>
        <w:t xml:space="preserve">영향도 (Impact)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등급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치명적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인증 상실, 핵심 고객 상실, 안전 사고, 사업 존속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중대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주요 고객 불만, 대규모 리콜, 규제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납기 지연, 비용 증가, 내부심사 Major 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경미</w:t>
            </w:r>
          </w:p>
        </w:tc>
        <w:tc>
          <w:tcPr/>
          <w:p>
            <w:pPr>
              <w:pStyle w:val="Compact"/>
            </w:pPr>
            <w:r>
              <w:t xml:space="preserve">경미한 프로세스 지연, Minor 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무시</w:t>
            </w:r>
          </w:p>
        </w:tc>
        <w:tc>
          <w:tcPr/>
          <w:p>
            <w:pPr>
              <w:pStyle w:val="Compact"/>
            </w:pPr>
            <w:r>
              <w:t xml:space="preserve">영향 거의 없음, OFI 수준</w:t>
            </w:r>
          </w:p>
        </w:tc>
      </w:tr>
    </w:tbl>
    <w:bookmarkEnd w:id="25"/>
    <w:bookmarkStart w:id="26" w:name="리스크-수준-매트릭스-발생-가능성-영향도"/>
    <w:p>
      <w:pPr>
        <w:pStyle w:val="Heading3"/>
      </w:pPr>
      <w:r>
        <w:t xml:space="preserve">리스크 수준 매트릭스 (발생 가능성 × 영향도)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 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 2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 3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 4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가능성 5</w:t>
            </w:r>
          </w:p>
        </w:tc>
        <w:tc>
          <w:tcPr/>
          <w:p>
            <w:pPr>
              <w:pStyle w:val="Compact"/>
            </w:pPr>
            <w:r>
              <w:t xml:space="preserve">5 (중)</w:t>
            </w:r>
          </w:p>
        </w:tc>
        <w:tc>
          <w:tcPr/>
          <w:p>
            <w:pPr>
              <w:pStyle w:val="Compact"/>
            </w:pPr>
            <w:r>
              <w:t xml:space="preserve">10 (중)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(고)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 (고)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25 (극고)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가능성 4</w:t>
            </w:r>
          </w:p>
        </w:tc>
        <w:tc>
          <w:tcPr/>
          <w:p>
            <w:pPr>
              <w:pStyle w:val="Compact"/>
            </w:pPr>
            <w:r>
              <w:t xml:space="preserve">4 (저)</w:t>
            </w:r>
          </w:p>
        </w:tc>
        <w:tc>
          <w:tcPr/>
          <w:p>
            <w:pPr>
              <w:pStyle w:val="Compact"/>
            </w:pPr>
            <w:r>
              <w:t xml:space="preserve">8 (중)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(고)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(고)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20 (고)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가능성 3</w:t>
            </w:r>
          </w:p>
        </w:tc>
        <w:tc>
          <w:tcPr/>
          <w:p>
            <w:pPr>
              <w:pStyle w:val="Compact"/>
            </w:pPr>
            <w:r>
              <w:t xml:space="preserve">3 (저)</w:t>
            </w:r>
          </w:p>
        </w:tc>
        <w:tc>
          <w:tcPr/>
          <w:p>
            <w:pPr>
              <w:pStyle w:val="Compact"/>
            </w:pPr>
            <w:r>
              <w:t xml:space="preserve">6 (중)</w:t>
            </w:r>
          </w:p>
        </w:tc>
        <w:tc>
          <w:tcPr/>
          <w:p>
            <w:pPr>
              <w:pStyle w:val="Compact"/>
            </w:pPr>
            <w:r>
              <w:t xml:space="preserve">9 (중)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(고)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(고)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가능성 2</w:t>
            </w:r>
          </w:p>
        </w:tc>
        <w:tc>
          <w:tcPr/>
          <w:p>
            <w:pPr>
              <w:pStyle w:val="Compact"/>
            </w:pPr>
            <w:r>
              <w:t xml:space="preserve">2 (저)</w:t>
            </w:r>
          </w:p>
        </w:tc>
        <w:tc>
          <w:tcPr/>
          <w:p>
            <w:pPr>
              <w:pStyle w:val="Compact"/>
            </w:pPr>
            <w:r>
              <w:t xml:space="preserve">4 (저)</w:t>
            </w:r>
          </w:p>
        </w:tc>
        <w:tc>
          <w:tcPr/>
          <w:p>
            <w:pPr>
              <w:pStyle w:val="Compact"/>
            </w:pPr>
            <w:r>
              <w:t xml:space="preserve">6 (중)</w:t>
            </w:r>
          </w:p>
        </w:tc>
        <w:tc>
          <w:tcPr/>
          <w:p>
            <w:pPr>
              <w:pStyle w:val="Compact"/>
            </w:pPr>
            <w:r>
              <w:t xml:space="preserve">8 (중)</w:t>
            </w:r>
          </w:p>
        </w:tc>
        <w:tc>
          <w:tcPr/>
          <w:p>
            <w:pPr>
              <w:pStyle w:val="Compact"/>
            </w:pPr>
            <w:r>
              <w:t xml:space="preserve">10 (중)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가능성 1</w:t>
            </w:r>
          </w:p>
        </w:tc>
        <w:tc>
          <w:tcPr/>
          <w:p>
            <w:pPr>
              <w:pStyle w:val="Compact"/>
            </w:pPr>
            <w:r>
              <w:t xml:space="preserve">1 (저)</w:t>
            </w:r>
          </w:p>
        </w:tc>
        <w:tc>
          <w:tcPr/>
          <w:p>
            <w:pPr>
              <w:pStyle w:val="Compact"/>
            </w:pPr>
            <w:r>
              <w:t xml:space="preserve">2 (저)</w:t>
            </w:r>
          </w:p>
        </w:tc>
        <w:tc>
          <w:tcPr/>
          <w:p>
            <w:pPr>
              <w:pStyle w:val="Compact"/>
            </w:pPr>
            <w:r>
              <w:t xml:space="preserve">3 (저)</w:t>
            </w:r>
          </w:p>
        </w:tc>
        <w:tc>
          <w:tcPr/>
          <w:p>
            <w:pPr>
              <w:pStyle w:val="Compact"/>
            </w:pPr>
            <w:r>
              <w:t xml:space="preserve">4 (저)</w:t>
            </w:r>
          </w:p>
        </w:tc>
        <w:tc>
          <w:tcPr/>
          <w:p>
            <w:pPr>
              <w:pStyle w:val="Compact"/>
            </w:pPr>
            <w:r>
              <w:t xml:space="preserve">5 (중)</w:t>
            </w:r>
          </w:p>
        </w:tc>
      </w:tr>
    </w:tbl>
    <w:bookmarkEnd w:id="26"/>
    <w:bookmarkEnd w:id="27"/>
    <w:bookmarkStart w:id="28" w:name="리스크-수준별-대응"/>
    <w:p>
      <w:pPr>
        <w:pStyle w:val="Heading2"/>
      </w:pPr>
      <w:r>
        <w:t xml:space="preserve">7.2 리스크 수준별 대응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226"/>
        <w:gridCol w:w="1760"/>
        <w:gridCol w:w="2933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점수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대응 요구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극고 (Critical)</w:t>
            </w:r>
          </w:p>
        </w:tc>
        <w:tc>
          <w:tcPr/>
          <w:p>
            <w:pPr>
              <w:pStyle w:val="Compact"/>
            </w:pPr>
            <w:r>
              <w:t xml:space="preserve">20~25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즉시 대응 필수; 대표이사 보고; 조치 완료 전 관련 활동 중단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 (High)</w:t>
            </w:r>
          </w:p>
        </w:tc>
        <w:tc>
          <w:tcPr/>
          <w:p>
            <w:pPr>
              <w:pStyle w:val="Compact"/>
            </w:pPr>
            <w:r>
              <w:t xml:space="preserve">12~16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대응 계획 수립 필수; QMR 승인; 30일 이내 조치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 (Medium)</w:t>
            </w:r>
          </w:p>
        </w:tc>
        <w:tc>
          <w:tcPr/>
          <w:p>
            <w:pPr>
              <w:pStyle w:val="Compact"/>
            </w:pPr>
            <w:r>
              <w:t xml:space="preserve">5~10</w:t>
            </w:r>
          </w:p>
        </w:tc>
        <w:tc>
          <w:tcPr/>
          <w:p>
            <w:pPr>
              <w:pStyle w:val="Compact"/>
            </w:pPr>
            <w:r>
              <w:t xml:space="preserve">대응 권장; 모니터링 강화; 분기 검토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 (Low)</w:t>
            </w:r>
          </w:p>
        </w:tc>
        <w:tc>
          <w:tcPr/>
          <w:p>
            <w:pPr>
              <w:pStyle w:val="Compact"/>
            </w:pPr>
            <w:r>
              <w:t xml:space="preserve">1~4</w:t>
            </w:r>
          </w:p>
        </w:tc>
        <w:tc>
          <w:tcPr/>
          <w:p>
            <w:pPr>
              <w:pStyle w:val="Compact"/>
            </w:pPr>
            <w:r>
              <w:t xml:space="preserve">수용 가능; 연간 검토 시 재확인</w:t>
            </w:r>
          </w:p>
        </w:tc>
      </w:tr>
    </w:tbl>
    <w:bookmarkEnd w:id="28"/>
    <w:bookmarkEnd w:id="29"/>
    <w:bookmarkStart w:id="33" w:name="리스크-대응-및-기회-활용"/>
    <w:p>
      <w:pPr>
        <w:pStyle w:val="Heading1"/>
      </w:pPr>
      <w:r>
        <w:t xml:space="preserve">8. 리스크 대응 및 기회 활용</w:t>
      </w:r>
    </w:p>
    <w:bookmarkStart w:id="30" w:name="리스크-대응-전략"/>
    <w:p>
      <w:pPr>
        <w:pStyle w:val="Heading2"/>
      </w:pPr>
      <w:r>
        <w:t xml:space="preserve">8.1 리스크 대응 전략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전략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회피 (Avoid)</w:t>
            </w:r>
          </w:p>
        </w:tc>
        <w:tc>
          <w:tcPr/>
          <w:p>
            <w:pPr>
              <w:pStyle w:val="Compact"/>
            </w:pPr>
            <w:r>
              <w:t xml:space="preserve">리스크를 발생시키는 활동/조건 제거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위험 시장 진입 포기, 위험 공정 미채택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저감 (Mitigate)</w:t>
            </w:r>
          </w:p>
        </w:tc>
        <w:tc>
          <w:tcPr/>
          <w:p>
            <w:pPr>
              <w:pStyle w:val="Compact"/>
            </w:pPr>
            <w:r>
              <w:t xml:space="preserve">발생 가능성 또는 영향 감소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이중화 설계, 대체 공급원 확보, 교육 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전가 (Transfer)</w:t>
            </w:r>
          </w:p>
        </w:tc>
        <w:tc>
          <w:tcPr/>
          <w:p>
            <w:pPr>
              <w:pStyle w:val="Compact"/>
            </w:pPr>
            <w:r>
              <w:t xml:space="preserve">리스크를 제3자와 공유</w:t>
            </w:r>
          </w:p>
        </w:tc>
        <w:tc>
          <w:tcPr/>
          <w:p>
            <w:pPr>
              <w:pStyle w:val="Compact"/>
            </w:pPr>
            <w:r>
              <w:t xml:space="preserve">보험, 외주, 파트너십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수용 (Accept)</w:t>
            </w:r>
          </w:p>
        </w:tc>
        <w:tc>
          <w:tcPr/>
          <w:p>
            <w:pPr>
              <w:pStyle w:val="Compact"/>
            </w:pPr>
            <w:r>
              <w:t xml:space="preserve">의식적으로 리스크를 받아들임</w:t>
            </w:r>
          </w:p>
        </w:tc>
        <w:tc>
          <w:tcPr/>
          <w:p>
            <w:pPr>
              <w:pStyle w:val="Compact"/>
            </w:pPr>
            <w:r>
              <w:t xml:space="preserve">저위험 항목, 비용 대비 효과 미미</w:t>
            </w:r>
          </w:p>
        </w:tc>
      </w:tr>
    </w:tbl>
    <w:bookmarkEnd w:id="30"/>
    <w:bookmarkStart w:id="31" w:name="기회-활용-전략"/>
    <w:p>
      <w:pPr>
        <w:pStyle w:val="Heading2"/>
      </w:pPr>
      <w:r>
        <w:t xml:space="preserve">8.2 기회 활용 전략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전략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활용 (Exploit)</w:t>
            </w:r>
          </w:p>
        </w:tc>
        <w:tc>
          <w:tcPr/>
          <w:p>
            <w:pPr>
              <w:pStyle w:val="Compact"/>
            </w:pPr>
            <w:r>
              <w:t xml:space="preserve">기회 실현을 확실히 함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인증 취득, 핵심 역량 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강화 (Enhance)</w:t>
            </w:r>
          </w:p>
        </w:tc>
        <w:tc>
          <w:tcPr/>
          <w:p>
            <w:pPr>
              <w:pStyle w:val="Compact"/>
            </w:pPr>
            <w:r>
              <w:t xml:space="preserve">기회의 발생 가능성/영향 증대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추가 투자, 역량 개발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공유 (Share)</w:t>
            </w:r>
          </w:p>
        </w:tc>
        <w:tc>
          <w:tcPr/>
          <w:p>
            <w:pPr>
              <w:pStyle w:val="Compact"/>
            </w:pPr>
            <w:r>
              <w:t xml:space="preserve">기회 실현을 위해 파트너 활용</w:t>
            </w:r>
          </w:p>
        </w:tc>
        <w:tc>
          <w:tcPr/>
          <w:p>
            <w:pPr>
              <w:pStyle w:val="Compact"/>
            </w:pPr>
            <w:r>
              <w:t xml:space="preserve">합작, 기술 제휴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무시 (Ignore)</w:t>
            </w:r>
          </w:p>
        </w:tc>
        <w:tc>
          <w:tcPr/>
          <w:p>
            <w:pPr>
              <w:pStyle w:val="Compact"/>
            </w:pPr>
            <w:r>
              <w:t xml:space="preserve">기회 추구하지 않음 (자원 부족 등)</w:t>
            </w:r>
          </w:p>
        </w:tc>
        <w:tc>
          <w:tcPr/>
          <w:p>
            <w:pPr>
              <w:pStyle w:val="Compact"/>
            </w:pPr>
            <w:r>
              <w:t xml:space="preserve">우선순위 낮은 기회</w:t>
            </w:r>
          </w:p>
        </w:tc>
      </w:tr>
    </w:tbl>
    <w:bookmarkEnd w:id="31"/>
    <w:bookmarkStart w:id="32" w:name="대응-조치-기록"/>
    <w:p>
      <w:pPr>
        <w:pStyle w:val="Heading2"/>
      </w:pPr>
      <w:r>
        <w:t xml:space="preserve">8.3 대응 조치 기록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307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항목</w:t>
            </w:r>
          </w:p>
        </w:tc>
        <w:tc>
          <w:tcPr>
            <w:tcW w:w="6481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리스크/기회 ID</w:t>
            </w:r>
          </w:p>
        </w:tc>
        <w:tc>
          <w:tcPr>
            <w:tcW w:w="648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고유 식별번호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대응 전략</w:t>
            </w:r>
          </w:p>
        </w:tc>
        <w:tc>
          <w:tcPr>
            <w:tcW w:w="648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회피/저감/전가/수용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구체적 조치</w:t>
            </w:r>
          </w:p>
        </w:tc>
        <w:tc>
          <w:tcPr/>
          <w:p>
            <w:pPr>
              <w:pStyle w:val="Compact"/>
            </w:pPr>
            <w:r>
              <w:t xml:space="preserve">실행할 조치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담당자</w:t>
            </w:r>
          </w:p>
        </w:tc>
        <w:tc>
          <w:tcPr>
            <w:tcW w:w="6481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조치 실행 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기한</w:t>
            </w:r>
          </w:p>
        </w:tc>
        <w:tc>
          <w:tcPr/>
          <w:p>
            <w:pPr>
              <w:pStyle w:val="Compact"/>
            </w:pPr>
            <w:r>
              <w:t xml:space="preserve">조치 완료 목표일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자원</w:t>
            </w:r>
          </w:p>
        </w:tc>
        <w:tc>
          <w:tcPr/>
          <w:p>
            <w:pPr>
              <w:pStyle w:val="Compact"/>
            </w:pPr>
            <w:r>
              <w:t xml:space="preserve">필요 예산/인력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잔여 리스크</w:t>
            </w:r>
          </w:p>
        </w:tc>
        <w:tc>
          <w:tcPr/>
          <w:p>
            <w:pPr>
              <w:pStyle w:val="Compact"/>
            </w:pPr>
            <w:r>
              <w:t xml:space="preserve">조치 후 예상 잔여 리스크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Open / In Progress / Closed</w:t>
            </w:r>
          </w:p>
        </w:tc>
      </w:tr>
    </w:tbl>
    <w:bookmarkEnd w:id="32"/>
    <w:bookmarkEnd w:id="33"/>
    <w:bookmarkStart w:id="36" w:name="항공우주-특수-요구사항"/>
    <w:p>
      <w:pPr>
        <w:pStyle w:val="Heading1"/>
      </w:pPr>
      <w:r>
        <w:t xml:space="preserve">9. 항공우주 특수 요구사항</w:t>
      </w:r>
    </w:p>
    <w:bookmarkStart w:id="34" w:name="리스크-기반-사고의-qms-통합"/>
    <w:p>
      <w:pPr>
        <w:pStyle w:val="Heading2"/>
      </w:pPr>
      <w:r>
        <w:t xml:space="preserve">9.1 리스크 기반 사고의 QMS 통합</w:t>
      </w:r>
    </w:p>
    <w:p>
      <w:pPr>
        <w:pStyle w:val="FirstParagraph"/>
      </w:pPr>
      <w:r>
        <w:t xml:space="preserve">AS9100D는 리스크 기반 사고를 QMS 전반에 걸쳐 적용하도록 요구한다: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592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QMS 영역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고려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기획 (4.4)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프로세스별 리스크/기회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품질목표 (6.2)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리스크를 고려한 목표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기획 (8.1)</w:t>
            </w:r>
          </w:p>
        </w:tc>
        <w:tc>
          <w:tcPr/>
          <w:p>
            <w:pPr>
              <w:pStyle w:val="Compact"/>
            </w:pPr>
            <w:r>
              <w:t xml:space="preserve">제품 실현 리스크 관리 → QP-802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외부공급자 (8.4)</w:t>
            </w:r>
          </w:p>
        </w:tc>
        <w:tc>
          <w:tcPr>
            <w:tcW w:w="6196" w:type="dxa"/>
          </w:tcPr>
          <w:p>
            <w:pPr>
              <w:pStyle w:val="Compact"/>
            </w:pPr>
            <w:r>
              <w:t xml:space="preserve">공급자 리스크 평가 → QP-808 연계</w:t>
            </w:r>
          </w:p>
        </w:tc>
      </w:tr>
      <w:tr>
        <w:tc>
          <w:tcPr>
            <w:tcW w:w="2592" w:type="dxa"/>
          </w:tcPr>
          <w:p>
            <w:pPr>
              <w:pStyle w:val="Compact"/>
            </w:pPr>
            <w:r>
              <w:t xml:space="preserve">성과평가 (9.1)</w:t>
            </w:r>
          </w:p>
        </w:tc>
        <w:tc>
          <w:tcPr>
            <w:tcW w:w="6196" w:type="dxa"/>
          </w:tcPr>
          <w:p>
            <w:pPr>
              <w:pStyle w:val="Compact"/>
            </w:pPr>
            <w:r>
              <w:t xml:space="preserve">리스크 대응 효과성 모니터링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 (9.3)</w:t>
            </w:r>
          </w:p>
        </w:tc>
        <w:tc>
          <w:tcPr>
            <w:tcW w:w="6196" w:type="dxa"/>
          </w:tcPr>
          <w:p>
            <w:pPr>
              <w:pStyle w:val="Compact"/>
            </w:pPr>
            <w:r>
              <w:t xml:space="preserve">리스크 관리 효과성 → QP-904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개선 (10)</w:t>
            </w:r>
          </w:p>
        </w:tc>
        <w:tc>
          <w:tcPr>
            <w:tcW w:w="6196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 기반 개선 우선순위 결정</w:t>
            </w:r>
          </w:p>
        </w:tc>
      </w:tr>
    </w:tbl>
    <w:bookmarkEnd w:id="34"/>
    <w:bookmarkStart w:id="35" w:name="qp-601과-qp-802의-관계"/>
    <w:p>
      <w:pPr>
        <w:pStyle w:val="Heading2"/>
      </w:pPr>
      <w:r>
        <w:t xml:space="preserve">9.2 QP-601과 QP-802의 관계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QP-601 (본 절차서)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QP-802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AS9100D 조항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8.1.2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전략적·시스템적 리스크/기회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운영적·기술적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리스크 매트릭스, SWOT</w:t>
            </w:r>
          </w:p>
        </w:tc>
        <w:tc>
          <w:tcPr/>
          <w:p>
            <w:pPr>
              <w:pStyle w:val="Compact"/>
            </w:pPr>
            <w:r>
              <w:t xml:space="preserve">FMEA (DFMEA/PFMEA)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도구</w:t>
            </w:r>
          </w:p>
        </w:tc>
        <w:tc>
          <w:tcPr/>
          <w:p>
            <w:pPr>
              <w:pStyle w:val="Compact"/>
            </w:pPr>
            <w:r>
              <w:t xml:space="preserve">리스크 등록부 (F-814-01)</w:t>
            </w:r>
          </w:p>
        </w:tc>
        <w:tc>
          <w:tcPr/>
          <w:p>
            <w:pPr>
              <w:pStyle w:val="Compact"/>
            </w:pPr>
            <w:r>
              <w:t xml:space="preserve">FMEA 워크시트 + 리스크 등록부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주관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  <w:r>
              <w:t xml:space="preserve">기술팀장/생산팀장</w:t>
            </w:r>
          </w:p>
        </w:tc>
      </w:tr>
    </w:tbl>
    <w:p>
      <w:pPr>
        <w:pStyle w:val="BodyText"/>
      </w:pPr>
      <w:r>
        <w:t xml:space="preserve">양 절차서에서 식별된 리스크는</w:t>
      </w:r>
      <w:r>
        <w:t xml:space="preserve"> </w:t>
      </w:r>
      <w:r>
        <w:rPr>
          <w:b/>
          <w:bCs/>
        </w:rPr>
        <w:t xml:space="preserve">공용 리스크 등록부(F-814-01)</w:t>
      </w:r>
      <w:r>
        <w:t xml:space="preserve">에 통합 관리한다.</w:t>
      </w:r>
    </w:p>
    <w:bookmarkEnd w:id="35"/>
    <w:bookmarkEnd w:id="36"/>
    <w:bookmarkStart w:id="37" w:name="기록-관리"/>
    <w:p>
      <w:pPr>
        <w:pStyle w:val="Heading1"/>
      </w:pPr>
      <w:r>
        <w:t xml:space="preserve">10.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등록부 (F-814-01)</w:t>
            </w:r>
          </w:p>
        </w:tc>
        <w:tc>
          <w:tcPr/>
          <w:p>
            <w:pPr>
              <w:pStyle w:val="Compact"/>
            </w:pPr>
            <w:r>
              <w:t xml:space="preserve">QMS 유지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등록, 상시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평가 워크숍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품질팀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 대응 조치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리스크 등록부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기회 활용 계획/실적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품질팀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경영검토 리스크 보고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QP-904 연계</w:t>
            </w:r>
          </w:p>
        </w:tc>
      </w:tr>
    </w:tbl>
    <w:bookmarkEnd w:id="37"/>
    <w:bookmarkStart w:id="40" w:name="관련-문서-및-양식"/>
    <w:p>
      <w:pPr>
        <w:pStyle w:val="Heading1"/>
      </w:pPr>
      <w:r>
        <w:t xml:space="preserve">11. 관련 문서 및 양식</w:t>
      </w:r>
    </w:p>
    <w:bookmarkStart w:id="38" w:name="관련-절차서"/>
    <w:p>
      <w:pPr>
        <w:pStyle w:val="Heading2"/>
      </w:pPr>
      <w:r>
        <w:t xml:space="preserve">11.1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(§6.1)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QP-401</w:t>
            </w:r>
          </w:p>
        </w:tc>
        <w:tc>
          <w:tcPr/>
          <w:p>
            <w:pPr>
              <w:pStyle w:val="Compact"/>
            </w:pPr>
            <w:r>
              <w:t xml:space="preserve">조직 상황/이해관계자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 식별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QP-403</w:t>
            </w:r>
          </w:p>
        </w:tc>
        <w:tc>
          <w:tcPr/>
          <w:p>
            <w:pPr>
              <w:pStyle w:val="Compact"/>
            </w:pPr>
            <w:r>
              <w:t xml:space="preserve">프로세스 접근법/QMS 기획</w:t>
            </w:r>
          </w:p>
        </w:tc>
        <w:tc>
          <w:tcPr/>
          <w:p>
            <w:pPr>
              <w:pStyle w:val="Compact"/>
            </w:pPr>
            <w:r>
              <w:t xml:space="preserve">프로세스별 리스크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운영 리스크 관리 (FMEA)</w:t>
            </w:r>
          </w:p>
        </w:tc>
        <w:tc>
          <w:tcPr/>
          <w:p>
            <w:pPr>
              <w:pStyle w:val="Compact"/>
            </w:pPr>
            <w:r>
              <w:t xml:space="preserve">운영 리스크 (8.1.2)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</w:t>
            </w:r>
          </w:p>
        </w:tc>
        <w:tc>
          <w:tcPr/>
          <w:p>
            <w:pPr>
              <w:pStyle w:val="Compact"/>
            </w:pPr>
            <w:r>
              <w:t xml:space="preserve">안전 리스크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QP-904</w:t>
            </w:r>
          </w:p>
        </w:tc>
        <w:tc>
          <w:tcPr/>
          <w:p>
            <w:pPr>
              <w:pStyle w:val="Compact"/>
            </w:pPr>
            <w:r>
              <w:t xml:space="preserve">경영검토</w:t>
            </w:r>
          </w:p>
        </w:tc>
        <w:tc>
          <w:tcPr/>
          <w:p>
            <w:pPr>
              <w:pStyle w:val="Compact"/>
            </w:pPr>
            <w:r>
              <w:t xml:space="preserve">리스크 관리 효과성 보고</w:t>
            </w:r>
          </w:p>
        </w:tc>
      </w:tr>
    </w:tbl>
    <w:bookmarkEnd w:id="38"/>
    <w:bookmarkStart w:id="39" w:name="관련-양식"/>
    <w:p>
      <w:pPr>
        <w:pStyle w:val="Heading2"/>
      </w:pPr>
      <w:r>
        <w:t xml:space="preserve">11.2 관련 양식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F-814-01</w:t>
            </w:r>
          </w:p>
        </w:tc>
        <w:tc>
          <w:tcPr/>
          <w:p>
            <w:pPr>
              <w:pStyle w:val="Compact"/>
            </w:pPr>
            <w:r>
              <w:t xml:space="preserve">리스크 등록부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전사 리스크/기회 통합 관리 (QP-802 공용)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F-601-01</w:t>
            </w:r>
          </w:p>
        </w:tc>
        <w:tc>
          <w:tcPr/>
          <w:p>
            <w:pPr>
              <w:pStyle w:val="Compact"/>
            </w:pPr>
            <w:r>
              <w:t xml:space="preserve">리스크 평가 매트릭스 시트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 평가 (발생가능성 × 영향도)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F-601-02</w:t>
            </w:r>
          </w:p>
        </w:tc>
        <w:tc>
          <w:tcPr/>
          <w:p>
            <w:pPr>
              <w:pStyle w:val="Compact"/>
            </w:pPr>
            <w:r>
              <w:t xml:space="preserve">리스크 대응 계획서</w:t>
            </w:r>
          </w:p>
        </w:tc>
        <w:tc>
          <w:tcPr/>
          <w:p>
            <w:pPr>
              <w:pStyle w:val="Compact"/>
            </w:pPr>
            <w:r>
              <w:t xml:space="preserve">대응 전략, 조치, 담당, 기한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F-601-03</w:t>
            </w:r>
          </w:p>
        </w:tc>
        <w:tc>
          <w:tcPr/>
          <w:p>
            <w:pPr>
              <w:pStyle w:val="Compact"/>
            </w:pPr>
            <w:r>
              <w:t xml:space="preserve">기회 활용 계획서</w:t>
            </w:r>
          </w:p>
        </w:tc>
        <w:tc>
          <w:tcPr/>
          <w:p>
            <w:pPr>
              <w:pStyle w:val="Compact"/>
            </w:pPr>
            <w:r>
              <w:t xml:space="preserve">기회 활용 전략 및 실행 계획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QP-601 Rev. 0</w:t>
      </w:r>
    </w:p>
    <w:bookmarkEnd w:id="39"/>
    <w:bookmarkEnd w:id="40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리스크 및 기회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리스크 및 기회 관리 절차서</w:t>
    </w:r>
    <w:r>
      <w:tab/>
    </w:r>
    <w:r>
      <w:rPr>
        <w:sz w:val="18"/>
      </w:rPr>
      <w:t>QP-601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44"/>
      <w:szCs w:val="44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리스크 및 기회 관리 절차서</dc:title>
  <dc:creator/>
  <cp:keywords/>
  <dcterms:created xsi:type="dcterms:W3CDTF">2026-04-10T08:21:04Z</dcterms:created>
  <dcterms:modified xsi:type="dcterms:W3CDTF">2026-04-10T08:21:04Z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QP-601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