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운영 리스크 관리 절차서 (FMEA 포함)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QP-802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운영 리스크 관리 절차서 (FMEA 포함)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4월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CellMar>
          <w:left w:w="108" w:type="dxa"/>
          <w:right w:w="108" w:type="dxa"/>
        </w:tblCellMa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2026-04-__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신규 작성)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3e82895b889a736e22dc0a949f97a5b3ffc35b2">
        <w:r>
          <w:rPr>
            <w:rStyle w:val="Hyperlink"/>
          </w:rPr>
          <w:t xml:space="preserve">운영 리스크 관리 체계</w:t>
        </w:r>
      </w:hyperlink>
    </w:p>
    <w:p>
      <w:pPr>
        <w:pStyle w:val="Compact"/>
        <w:numPr>
          <w:ilvl w:val="0"/>
          <w:numId w:val="1001"/>
        </w:numPr>
      </w:pPr>
      <w:hyperlink w:anchor="Xf4cb34152b05698274a476f0e1275ccdf8a132d">
        <w:r>
          <w:rPr>
            <w:rStyle w:val="Hyperlink"/>
          </w:rPr>
          <w:t xml:space="preserve">FMEA 실행</w:t>
        </w:r>
      </w:hyperlink>
    </w:p>
    <w:p>
      <w:pPr>
        <w:pStyle w:val="Compact"/>
        <w:numPr>
          <w:ilvl w:val="0"/>
          <w:numId w:val="1001"/>
        </w:numPr>
      </w:pPr>
      <w:hyperlink w:anchor="X34b6dad59e83dc47e27eabeaa5854d6a8c3cb30">
        <w:r>
          <w:rPr>
            <w:rStyle w:val="Hyperlink"/>
          </w:rPr>
          <w:t xml:space="preserve">리스크 완화 및 관리</w:t>
        </w:r>
      </w:hyperlink>
    </w:p>
    <w:p>
      <w:pPr>
        <w:pStyle w:val="Compact"/>
        <w:numPr>
          <w:ilvl w:val="0"/>
          <w:numId w:val="1001"/>
        </w:numPr>
      </w:pPr>
      <w:hyperlink w:anchor="X33f00afd52482b3ba14c12030731ec33973e627">
        <w:r>
          <w:rPr>
            <w:rStyle w:val="Hyperlink"/>
          </w:rPr>
          <w:t xml:space="preserve">항공우주 특수 요구사항</w:t>
        </w:r>
      </w:hyperlink>
    </w:p>
    <w:p>
      <w:pPr>
        <w:pStyle w:val="Compact"/>
        <w:numPr>
          <w:ilvl w:val="0"/>
          <w:numId w:val="1001"/>
        </w:numPr>
      </w:pPr>
      <w:hyperlink w:anchor="X61f939ac54a5e2a51e5260e7c89ad6a43078e9e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59266ae113f54c98872663b14ccb539e91581d5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M&amp;C Electronics VINA의 제품 실현(운용) 프로세스에서 발생할 수 있는 리스크를 체계적으로 식별, 평가, 완화하기 위한 절차를 규정한다.</w:t>
      </w:r>
    </w:p>
    <w:p>
      <w:pPr>
        <w:pStyle w:val="BodyText"/>
      </w:pPr>
      <w:r>
        <w:t xml:space="preserve">본 절차서의 목적:</w:t>
      </w:r>
      <w:r>
        <w:t xml:space="preserve"> </w:t>
      </w:r>
      <w:r>
        <w:t xml:space="preserve">- AS9100D 8.1.2 요구사항에 따른 운영 리스크 관리 프로세스 수립</w:t>
      </w:r>
      <w:r>
        <w:t xml:space="preserve"> </w:t>
      </w:r>
      <w:r>
        <w:t xml:space="preserve">- FMEA(고장모드 및 영향분석)를 활용한 체계적 리스크 평가</w:t>
      </w:r>
      <w:r>
        <w:t xml:space="preserve"> </w:t>
      </w:r>
      <w:r>
        <w:t xml:space="preserve">- 제품/공정/서비스의 적합성 보장을 위한 리스크 완화 조치</w:t>
      </w:r>
      <w:r>
        <w:t xml:space="preserve"> </w:t>
      </w:r>
      <w:r>
        <w:t xml:space="preserve">- CAR-001, CAR-002 (운영 리스크 관리 체계 미흡) 시정조치 반영</w: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 전략적 리스크/기회(AS9100D 6.1)는 QP-601에서 관리한다. 본 절차서는</w:t>
      </w:r>
      <w:r>
        <w:t xml:space="preserve"> </w:t>
      </w:r>
      <w:r>
        <w:rPr>
          <w:b/>
          <w:bCs/>
        </w:rPr>
        <w:t xml:space="preserve">운영적·기술적 리스크</w:t>
      </w:r>
      <w:r>
        <w:t xml:space="preserve">(8.1.2)에 집중한다.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VINA의 제품 실현(운용) 프로세스 전반에 적용한다.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683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7105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설계/개발</w:t>
            </w:r>
          </w:p>
        </w:tc>
        <w:tc>
          <w:tcPr>
            <w:tcW w:w="710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설계 FMEA (DFMEA) — 제품 설계 리스크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생산/제조</w:t>
            </w:r>
          </w:p>
        </w:tc>
        <w:tc>
          <w:tcPr>
            <w:tcW w:w="710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FMEA (PFMEA) — 제조 공정 리스크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구매/공급</w:t>
            </w:r>
          </w:p>
        </w:tc>
        <w:tc>
          <w:tcPr/>
          <w:p>
            <w:pPr>
              <w:pStyle w:val="Compact"/>
            </w:pPr>
            <w:r>
              <w:t xml:space="preserve">공급망 리스크 — 공급자 품질, 납기, 위조부품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검사/시험</w:t>
            </w:r>
          </w:p>
        </w:tc>
        <w:tc>
          <w:tcPr>
            <w:tcW w:w="710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검출 실패 리스크 — 측정/검사 프로세스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납품/물류</w:t>
            </w:r>
          </w:p>
        </w:tc>
        <w:tc>
          <w:tcPr/>
          <w:p>
            <w:pPr>
              <w:pStyle w:val="Compact"/>
            </w:pPr>
            <w:r>
              <w:t xml:space="preserve">인도 리스크 — 운송, 보관, 손상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특수공정</w:t>
            </w:r>
          </w:p>
        </w:tc>
        <w:tc>
          <w:tcPr/>
          <w:p>
            <w:pPr>
              <w:pStyle w:val="Compact"/>
            </w:pPr>
            <w:r>
              <w:t xml:space="preserve">특수공정 리스크 — 공정 능력, 인원 자격</w:t>
            </w:r>
          </w:p>
        </w:tc>
      </w:tr>
    </w:tbl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(8.1.2항)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SAE ARP4761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민간 항공기 시스템 안전성 평가 프로세스 지침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SAE J1739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FMEA 참조 매뉴얼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AIAG &amp; VDA FMEA Handbook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FMEA 수행 지침서 (2019)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품질매뉴얼 §8.1.2 운영 리스크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QP-601</w:t>
            </w:r>
          </w:p>
        </w:tc>
        <w:tc>
          <w:tcPr/>
          <w:p>
            <w:pPr>
              <w:pStyle w:val="Compact"/>
            </w:pPr>
            <w:r>
              <w:t xml:space="preserve">리스크 및 기회 관리 절차서 (전략적 리스크)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QP-804</w:t>
            </w:r>
          </w:p>
        </w:tc>
        <w:tc>
          <w:tcPr/>
          <w:p>
            <w:pPr>
              <w:pStyle w:val="Compact"/>
            </w:pPr>
            <w:r>
              <w:t xml:space="preserve">제품/서비스 안전 관리 절차서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리스크 (Operational Risk)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 실현 프로세스에서 발생할 수 있는 바람직하지 않은 결과의 가능성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FMEA (Failure Mode and Effects Analysis)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고장모드 및 영향분석 — 잠재적 고장모드, 원인, 영향을 체계적으로 분석하는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DFMEA (Design FMEA)</w:t>
            </w:r>
          </w:p>
        </w:tc>
        <w:tc>
          <w:tcPr/>
          <w:p>
            <w:pPr>
              <w:pStyle w:val="Compact"/>
            </w:pPr>
            <w:r>
              <w:t xml:space="preserve">설계 FMEA — 제품 설계 단계에서 수행하는 고장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PFMEA (Process FMEA)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FMEA — 제조 공정에서 수행하는 고장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고장모드 (Failure Mode)</w:t>
            </w:r>
          </w:p>
        </w:tc>
        <w:tc>
          <w:tcPr/>
          <w:p>
            <w:pPr>
              <w:pStyle w:val="Compact"/>
            </w:pPr>
            <w:r>
              <w:t xml:space="preserve">부품/공정이 요구 기능을 수행하지 못하는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RPN (Risk Priority Number)</w:t>
            </w:r>
          </w:p>
        </w:tc>
        <w:tc>
          <w:tcPr/>
          <w:p>
            <w:pPr>
              <w:pStyle w:val="Compact"/>
            </w:pPr>
            <w:r>
              <w:t xml:space="preserve">위험 우선순위 수 = 심각도(S) × 발생도(O) × 검출도(D)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 (Action Priority)</w:t>
            </w:r>
          </w:p>
        </w:tc>
        <w:tc>
          <w:tcPr/>
          <w:p>
            <w:pPr>
              <w:pStyle w:val="Compact"/>
            </w:pPr>
            <w:r>
              <w:t xml:space="preserve">AIAG-VDA 방식의 조치 우선순위 (High/Medium/Low)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심각도 (Severity)</w:t>
            </w:r>
          </w:p>
        </w:tc>
        <w:tc>
          <w:tcPr/>
          <w:p>
            <w:pPr>
              <w:pStyle w:val="Compact"/>
            </w:pPr>
            <w:r>
              <w:t xml:space="preserve">고장 영향의 심각한 정도 (1~10)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발생도 (Occurrence)</w:t>
            </w:r>
          </w:p>
        </w:tc>
        <w:tc>
          <w:tcPr/>
          <w:p>
            <w:pPr>
              <w:pStyle w:val="Compact"/>
            </w:pPr>
            <w:r>
              <w:t xml:space="preserve">고장 원인이 발생할 가능성 (1~10)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검출도 (Detection)</w:t>
            </w:r>
          </w:p>
        </w:tc>
        <w:tc>
          <w:tcPr/>
          <w:p>
            <w:pPr>
              <w:pStyle w:val="Compact"/>
            </w:pPr>
            <w:r>
              <w:t xml:space="preserve">현재 관리 방법으로 고장을 검출할 능력 (1~10, 낮을수록 우수)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잔여 리스크 (Residual Risk)</w:t>
            </w:r>
          </w:p>
        </w:tc>
        <w:tc>
          <w:tcPr/>
          <w:p>
            <w:pPr>
              <w:pStyle w:val="Compact"/>
            </w:pPr>
            <w:r>
              <w:t xml:space="preserve">완화 조치 후 남아 있는 리스크</w:t>
            </w:r>
          </w:p>
        </w:tc>
      </w:tr>
    </w:tbl>
    <w:bookmarkEnd w:id="17"/>
    <w:bookmarkStart w:id="18" w:name="책임과-권한"/>
    <w:p>
      <w:pPr>
        <w:pStyle w:val="Heading1"/>
      </w:pPr>
      <w:r>
        <w:t xml:space="preserve">5. 책임과 권한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품질책임자 (QMR)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운영 리스크 관리 체계 총괄; FMEA 결과 승인; 리스크 등록부 최종 검토; 경영검토 보고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개발팀장 (Trưởng bộ phận Phát triển/R&amp;D)</w:t>
            </w:r>
          </w:p>
        </w:tc>
        <w:tc>
          <w:tcPr>
            <w:tcW w:w="5788" w:type="dxa"/>
          </w:tcPr>
          <w:p>
            <w:pPr>
              <w:pStyle w:val="Compact"/>
            </w:pPr>
            <w:r>
              <w:t xml:space="preserve">FMEA 회의 주관 (개발 담당자가 다기능팀 회의 의장); DFMEA 주관; PFMEA 공동 주관; 회의 전 관련 자료(제조 흐름도, 도면, 기술 요건, 과거 불량 분석 자료) 최소 1일 전 팀원 배포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생산팀장 (Trưởng bộ phận Sản xuất)</w:t>
            </w:r>
          </w:p>
        </w:tc>
        <w:tc>
          <w:tcPr/>
          <w:p>
            <w:pPr>
              <w:pStyle w:val="Compact"/>
            </w:pPr>
            <w:r>
              <w:t xml:space="preserve">PFMEA 공동 주관; 공정 리스크 식별 및 완화 조치 실행; 공정 능력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품질팀장 (Trưởng bộ phận Chất lượng/QC)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FMEA 촉진자(Facilitator) 역할; 검출 관리 평가; 리스크 등록부 유지; 리스크 데이터 분석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구매팀장</w:t>
            </w:r>
          </w:p>
        </w:tc>
        <w:tc>
          <w:tcPr/>
          <w:p>
            <w:pPr>
              <w:pStyle w:val="Compact"/>
            </w:pPr>
            <w:r>
              <w:t xml:space="preserve">공급망 리스크 식별; 공급자 리스크 평가; 대체 공급원 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다기능팀 (CFT — 개발/금형/QC/생산 부서 대표)</w:t>
            </w:r>
          </w:p>
        </w:tc>
        <w:tc>
          <w:tcPr/>
          <w:p>
            <w:pPr>
              <w:pStyle w:val="Compact"/>
            </w:pPr>
            <w:r>
              <w:t xml:space="preserve">FMEA 워크숍 참여; 각 담당 공정에 대한 전문 의견 제공; 완화 조치 이행; APQP/FMEA/MSA/PPAP/SPC 도구 교육 이수</w:t>
            </w:r>
          </w:p>
        </w:tc>
      </w:tr>
    </w:tbl>
    <w:p>
      <w:pPr>
        <w:pStyle w:val="BodyText"/>
      </w:pPr>
      <w:r>
        <w:rPr>
          <w:b/>
          <w:bCs/>
        </w:rPr>
        <w:t xml:space="preserve">FMEA 적용 원칙</w:t>
      </w:r>
      <w:r>
        <w:t xml:space="preserve"> </w:t>
      </w:r>
      <w:r>
        <w:t xml:space="preserve">(기존 R&amp;D.02.06.07 기반):</w:t>
      </w:r>
      <w:r>
        <w:t xml:space="preserve"> </w:t>
      </w:r>
      <w:r>
        <w:t xml:space="preserve">- PFMEA를 기본으로 적용하며, 자사 설계 변경 제안 시 DFMEA도 수행한다</w:t>
      </w:r>
      <w:r>
        <w:t xml:space="preserve"> </w:t>
      </w:r>
      <w:r>
        <w:t xml:space="preserve">- FMEA는</w:t>
      </w:r>
      <w:r>
        <w:t xml:space="preserve"> </w:t>
      </w:r>
      <w:r>
        <w:t xml:space="preserve">“사건 발생 후”</w:t>
      </w:r>
      <w:r>
        <w:t xml:space="preserve">가 아닌</w:t>
      </w:r>
      <w:r>
        <w:t xml:space="preserve"> </w:t>
      </w:r>
      <w:r>
        <w:t xml:space="preserve">“사건 발생 전”</w:t>
      </w:r>
      <w:r>
        <w:t xml:space="preserve"> </w:t>
      </w:r>
      <w:r>
        <w:t xml:space="preserve">예방 행동이어야 한다</w:t>
      </w:r>
      <w:r>
        <w:t xml:space="preserve"> </w:t>
      </w:r>
      <w:r>
        <w:t xml:space="preserve">- 팀 전체의 집단 지식을 바탕으로 하며, 개인 판단이 아닌 팀 합의로 진행한다</w:t>
      </w:r>
      <w:r>
        <w:t xml:space="preserve"> </w:t>
      </w:r>
      <w:r>
        <w:t xml:space="preserve">- 과거 불량 이력, 통계 데이터, 실제 근거에 기반하여 객관적으로 분석한다</w:t>
      </w:r>
    </w:p>
    <w:bookmarkEnd w:id="18"/>
    <w:bookmarkStart w:id="25" w:name="운영-리스크-관리-체계"/>
    <w:p>
      <w:pPr>
        <w:pStyle w:val="Heading1"/>
      </w:pPr>
      <w:r>
        <w:t xml:space="preserve">6. 운영 리스크 관리 체계</w:t>
      </w:r>
    </w:p>
    <w:bookmarkStart w:id="19" w:name="리스크-관리-프로세스"/>
    <w:p>
      <w:pPr>
        <w:pStyle w:val="Heading2"/>
      </w:pPr>
      <w:r>
        <w:t xml:space="preserve">6.1 리스크 관리 프로세스</w:t>
      </w:r>
    </w:p>
    <w:tbl>
      <w:tblPr>
        <w:tblLook w:firstColumn="1" w:firstRow="1" w:lastColumn="0" w:lastRow="0" w:noHBand="0" w:noVBand="1" w:val="04A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8788"/>
      </w:tblGrid>
      <w:tr>
        <w:tc>
          <w:tcPr>
            <w:tcW w:w="878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① 리스크 식별 (Identify)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② 리스크 분석 (Analyze) ──→ FMEA, 리스크 매트릭스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③ 리스크 평가 (Evaluate) ──→ RPN/AP 산출, 우선순위 결정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④ 리스크 완화 (Treat) ──→ 완화 조치 수립/실행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⑤ 모니터링/검토 (Monitor) ──→ 잔여 리스크 확인, 주기적 재평가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⑥ 기록/보고 (Record) ──→ 리스크 등록부 갱신</w:t>
            </w:r>
          </w:p>
        </w:tc>
      </w:tr>
    </w:tbl>
    <w:bookmarkEnd w:id="19"/>
    <w:bookmarkStart w:id="20" w:name="리스크-식별-트리거"/>
    <w:p>
      <w:pPr>
        <w:pStyle w:val="Heading2"/>
      </w:pPr>
      <w:r>
        <w:t xml:space="preserve">6.2 리스크 식별 트리거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트리거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시기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FMEA 유형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제품/설계</w:t>
            </w:r>
          </w:p>
        </w:tc>
        <w:tc>
          <w:tcPr/>
          <w:p>
            <w:pPr>
              <w:pStyle w:val="Compact"/>
            </w:pPr>
            <w:r>
              <w:t xml:space="preserve">설계 검증 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DFMEA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공정/라인</w:t>
            </w:r>
          </w:p>
        </w:tc>
        <w:tc>
          <w:tcPr/>
          <w:p>
            <w:pPr>
              <w:pStyle w:val="Compact"/>
            </w:pPr>
            <w:r>
              <w:t xml:space="preserve">양산 시작 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PFMEA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변경 (ECN)</w:t>
            </w:r>
          </w:p>
        </w:tc>
        <w:tc>
          <w:tcPr/>
          <w:p>
            <w:pPr>
              <w:pStyle w:val="Compact"/>
            </w:pPr>
            <w:r>
              <w:t xml:space="preserve">변경 실행 전</w:t>
            </w:r>
          </w:p>
        </w:tc>
        <w:tc>
          <w:tcPr/>
          <w:p>
            <w:pPr>
              <w:pStyle w:val="Compact"/>
            </w:pPr>
            <w:r>
              <w:t xml:space="preserve">DFMEA 갱신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변경 (4M)</w:t>
            </w:r>
          </w:p>
        </w:tc>
        <w:tc>
          <w:tcPr/>
          <w:p>
            <w:pPr>
              <w:pStyle w:val="Compact"/>
            </w:pPr>
            <w:r>
              <w:t xml:space="preserve">변경 실행 전</w:t>
            </w:r>
          </w:p>
        </w:tc>
        <w:tc>
          <w:tcPr/>
          <w:p>
            <w:pPr>
              <w:pStyle w:val="Compact"/>
            </w:pPr>
            <w:r>
              <w:t xml:space="preserve">PFMEA 갱신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부적합/고객 불만</w:t>
            </w:r>
          </w:p>
        </w:tc>
        <w:tc>
          <w:tcPr/>
          <w:p>
            <w:pPr>
              <w:pStyle w:val="Compact"/>
            </w:pPr>
            <w:r>
              <w:t xml:space="preserve">발생 즉시</w:t>
            </w:r>
          </w:p>
        </w:tc>
        <w:tc>
          <w:tcPr/>
          <w:p>
            <w:pPr>
              <w:pStyle w:val="Compact"/>
            </w:pPr>
            <w:r>
              <w:t xml:space="preserve">DFMEA/PFMEA 갱신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 변경</w:t>
            </w:r>
          </w:p>
        </w:tc>
        <w:tc>
          <w:tcPr/>
          <w:p>
            <w:pPr>
              <w:pStyle w:val="Compact"/>
            </w:pPr>
            <w:r>
              <w:t xml:space="preserve">변경 승인 전</w:t>
            </w:r>
          </w:p>
        </w:tc>
        <w:tc>
          <w:tcPr/>
          <w:p>
            <w:pPr>
              <w:pStyle w:val="Compact"/>
            </w:pPr>
            <w:r>
              <w:t xml:space="preserve">공급망 리스크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정기 재평가</w:t>
            </w:r>
          </w:p>
        </w:tc>
        <w:tc>
          <w:tcPr/>
          <w:p>
            <w:pPr>
              <w:pStyle w:val="Compact"/>
            </w:pPr>
            <w:r>
              <w:t xml:space="preserve">연 1회</w:t>
            </w:r>
          </w:p>
        </w:tc>
        <w:tc>
          <w:tcPr/>
          <w:p>
            <w:pPr>
              <w:pStyle w:val="Compact"/>
            </w:pPr>
            <w:r>
              <w:t xml:space="preserve">전체 FMEA 검토</w:t>
            </w:r>
          </w:p>
        </w:tc>
      </w:tr>
    </w:tbl>
    <w:bookmarkEnd w:id="20"/>
    <w:bookmarkStart w:id="24" w:name="리스크-평가-기준"/>
    <w:p>
      <w:pPr>
        <w:pStyle w:val="Heading2"/>
      </w:pPr>
      <w:r>
        <w:t xml:space="preserve">6.3 리스크 평가 기준</w:t>
      </w:r>
    </w:p>
    <w:bookmarkStart w:id="21" w:name="심각도-severity-기준"/>
    <w:p>
      <w:pPr>
        <w:pStyle w:val="Heading3"/>
      </w:pPr>
      <w:r>
        <w:t xml:space="preserve">심각도 (Severity) 기준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영향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안전 위험 (경고 없음)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인명 안전에 영향, 규제 위반, 사전 경고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안전 위험 (경고 있음)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인명 안전에 영향, 사전 경고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기능 상실</w:t>
            </w:r>
          </w:p>
        </w:tc>
        <w:tc>
          <w:tcPr/>
          <w:p>
            <w:pPr>
              <w:pStyle w:val="Compact"/>
            </w:pPr>
            <w:r>
              <w:t xml:space="preserve">제품 주요 기능 완전 상실, 불가동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기능 저하 (심각)</w:t>
            </w:r>
          </w:p>
        </w:tc>
        <w:tc>
          <w:tcPr/>
          <w:p>
            <w:pPr>
              <w:pStyle w:val="Compact"/>
            </w:pPr>
            <w:r>
              <w:t xml:space="preserve">제품 성능 심각 저하, 고객 매우 불만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기능 저하 (중간)</w:t>
            </w:r>
          </w:p>
        </w:tc>
        <w:tc>
          <w:tcPr/>
          <w:p>
            <w:pPr>
              <w:pStyle w:val="Compact"/>
            </w:pPr>
            <w:r>
              <w:t xml:space="preserve">제품 성능 저하, 고객 불만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기능 저하 (경미)</w:t>
            </w:r>
          </w:p>
        </w:tc>
        <w:tc>
          <w:tcPr/>
          <w:p>
            <w:pPr>
              <w:pStyle w:val="Compact"/>
            </w:pPr>
            <w:r>
              <w:t xml:space="preserve">성능 일부 저하, 고객 다소 불편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외관/소음 영향</w:t>
            </w:r>
          </w:p>
        </w:tc>
        <w:tc>
          <w:tcPr/>
          <w:p>
            <w:pPr>
              <w:pStyle w:val="Compact"/>
            </w:pPr>
            <w:r>
              <w:t xml:space="preserve">대부분 고객이 인지하는 외관 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외관/소음 (경미)</w:t>
            </w:r>
          </w:p>
        </w:tc>
        <w:tc>
          <w:tcPr/>
          <w:p>
            <w:pPr>
              <w:pStyle w:val="Compact"/>
            </w:pPr>
            <w:r>
              <w:t xml:space="preserve">일부 고객이 인지하는 경미한 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거의 영향 없음</w:t>
            </w:r>
          </w:p>
        </w:tc>
        <w:tc>
          <w:tcPr/>
          <w:p>
            <w:pPr>
              <w:pStyle w:val="Compact"/>
            </w:pPr>
            <w:r>
              <w:t xml:space="preserve">세심한 고객만 인지하는 미미한 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영향 없음</w:t>
            </w:r>
          </w:p>
        </w:tc>
        <w:tc>
          <w:tcPr/>
          <w:p>
            <w:pPr>
              <w:pStyle w:val="Compact"/>
            </w:pPr>
            <w:r>
              <w:t xml:space="preserve">고장이 발생해도 영향 없음</w:t>
            </w:r>
          </w:p>
        </w:tc>
      </w:tr>
    </w:tbl>
    <w:bookmarkEnd w:id="21"/>
    <w:bookmarkStart w:id="22" w:name="발생도-occurrence-기준"/>
    <w:p>
      <w:pPr>
        <w:pStyle w:val="Heading3"/>
      </w:pPr>
      <w:r>
        <w:t xml:space="preserve">발생도 (Occurrence) 기준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발생 빈도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Cpk 참조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매우 높음 (≥ 100/1,000)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&lt; 0.33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높음 (50/1,000)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≈ 0.33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높음 (20/1,000)</w:t>
            </w:r>
          </w:p>
        </w:tc>
        <w:tc>
          <w:tcPr/>
          <w:p>
            <w:pPr>
              <w:pStyle w:val="Compact"/>
            </w:pPr>
            <w:r>
              <w:t xml:space="preserve">≈ 0.51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다소 높음 (10/1,000)</w:t>
            </w:r>
          </w:p>
        </w:tc>
        <w:tc>
          <w:tcPr/>
          <w:p>
            <w:pPr>
              <w:pStyle w:val="Compact"/>
            </w:pPr>
            <w:r>
              <w:t xml:space="preserve">≈ 0.67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중간 (5/1,000)</w:t>
            </w:r>
          </w:p>
        </w:tc>
        <w:tc>
          <w:tcPr/>
          <w:p>
            <w:pPr>
              <w:pStyle w:val="Compact"/>
            </w:pPr>
            <w:r>
              <w:t xml:space="preserve">≈ 0.83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중간 (2/1,000)</w:t>
            </w:r>
          </w:p>
        </w:tc>
        <w:tc>
          <w:tcPr/>
          <w:p>
            <w:pPr>
              <w:pStyle w:val="Compact"/>
            </w:pPr>
            <w:r>
              <w:t xml:space="preserve">≈ 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다소 낮음 (1/1,000)</w:t>
            </w:r>
          </w:p>
        </w:tc>
        <w:tc>
          <w:tcPr/>
          <w:p>
            <w:pPr>
              <w:pStyle w:val="Compact"/>
            </w:pPr>
            <w:r>
              <w:t xml:space="preserve">≈ 1.17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낮음 (0.1/1,000)</w:t>
            </w:r>
          </w:p>
        </w:tc>
        <w:tc>
          <w:tcPr/>
          <w:p>
            <w:pPr>
              <w:pStyle w:val="Compact"/>
            </w:pPr>
            <w:r>
              <w:t xml:space="preserve">≈ 1.33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매우 낮음 (≤ 0.01/1,000)</w:t>
            </w:r>
          </w:p>
        </w:tc>
        <w:tc>
          <w:tcPr/>
          <w:p>
            <w:pPr>
              <w:pStyle w:val="Compact"/>
            </w:pPr>
            <w:r>
              <w:t xml:space="preserve">≈ 1.67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거의 없음</w:t>
            </w:r>
          </w:p>
        </w:tc>
        <w:tc>
          <w:tcPr/>
          <w:p>
            <w:pPr>
              <w:pStyle w:val="Compact"/>
            </w:pPr>
            <w:r>
              <w:t xml:space="preserve">≥ 2.00</w:t>
            </w:r>
          </w:p>
        </w:tc>
      </w:tr>
    </w:tbl>
    <w:bookmarkEnd w:id="22"/>
    <w:bookmarkStart w:id="23" w:name="검출도-detection-기준"/>
    <w:p>
      <w:pPr>
        <w:pStyle w:val="Heading3"/>
      </w:pPr>
      <w:r>
        <w:t xml:space="preserve">검출도 (Detection) 기준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검출 능력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검출 불가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관리 방법 없음, 검출 수단 미확보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거의 불가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간접적 또는 무작위 점검만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매우 어려움</w:t>
            </w:r>
          </w:p>
        </w:tc>
        <w:tc>
          <w:tcPr/>
          <w:p>
            <w:pPr>
              <w:pStyle w:val="Compact"/>
            </w:pPr>
            <w:r>
              <w:t xml:space="preserve">육안 검사로만 검출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어려움</w:t>
            </w:r>
          </w:p>
        </w:tc>
        <w:tc>
          <w:tcPr/>
          <w:p>
            <w:pPr>
              <w:pStyle w:val="Compact"/>
            </w:pPr>
            <w:r>
              <w:t xml:space="preserve">수동 검사 (게이지/공구)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다소 어려움</w:t>
            </w:r>
          </w:p>
        </w:tc>
        <w:tc>
          <w:tcPr/>
          <w:p>
            <w:pPr>
              <w:pStyle w:val="Compact"/>
            </w:pPr>
            <w:r>
              <w:t xml:space="preserve">수동 측정 (변수 측정)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  <w:tc>
          <w:tcPr/>
          <w:p>
            <w:pPr>
              <w:pStyle w:val="Compact"/>
            </w:pPr>
            <w:r>
              <w:t xml:space="preserve">SPC 관리도 등 통계적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다소 높음</w:t>
            </w:r>
          </w:p>
        </w:tc>
        <w:tc>
          <w:tcPr/>
          <w:p>
            <w:pPr>
              <w:pStyle w:val="Compact"/>
            </w:pPr>
            <w:r>
              <w:t xml:space="preserve">자동 검사 + 수동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자동 검사 (센서, 비전)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매우 높음</w:t>
            </w:r>
          </w:p>
        </w:tc>
        <w:tc>
          <w:tcPr/>
          <w:p>
            <w:pPr>
              <w:pStyle w:val="Compact"/>
            </w:pPr>
            <w:r>
              <w:t xml:space="preserve">다중 자동 검출 + 자동 정지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거의 확실</w:t>
            </w:r>
          </w:p>
        </w:tc>
        <w:tc>
          <w:tcPr/>
          <w:p>
            <w:pPr>
              <w:pStyle w:val="Compact"/>
            </w:pPr>
            <w:r>
              <w:t xml:space="preserve">설계상 고장 발생 불가 (Poka-Yoke)</w:t>
            </w:r>
          </w:p>
        </w:tc>
      </w:tr>
    </w:tbl>
    <w:bookmarkEnd w:id="23"/>
    <w:bookmarkEnd w:id="24"/>
    <w:bookmarkEnd w:id="25"/>
    <w:bookmarkStart w:id="29" w:name="fmea-실행"/>
    <w:p>
      <w:pPr>
        <w:pStyle w:val="Heading1"/>
      </w:pPr>
      <w:r>
        <w:t xml:space="preserve">7. FMEA 실행</w:t>
      </w:r>
    </w:p>
    <w:bookmarkStart w:id="26" w:name="fmea-유형-및-적용"/>
    <w:p>
      <w:pPr>
        <w:pStyle w:val="Heading2"/>
      </w:pPr>
      <w:r>
        <w:t xml:space="preserve">7.1 FMEA 유형 및 적용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697"/>
        <w:gridCol w:w="2828"/>
        <w:gridCol w:w="1697"/>
        <w:gridCol w:w="169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시기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DFMEA</w:t>
            </w:r>
          </w:p>
        </w:tc>
        <w:tc>
          <w:tcPr/>
          <w:p>
            <w:pPr>
              <w:pStyle w:val="Compact"/>
            </w:pPr>
            <w:r>
              <w:t xml:space="preserve">설계 검증(DVP&amp;R) 전</w:t>
            </w:r>
          </w:p>
        </w:tc>
        <w:tc>
          <w:tcPr/>
          <w:p>
            <w:pPr>
              <w:pStyle w:val="Compact"/>
            </w:pPr>
            <w:r>
              <w:t xml:space="preserve">기술팀장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설계 고장모드 식별, 설계 강건성 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PFMEA</w:t>
            </w:r>
          </w:p>
        </w:tc>
        <w:tc>
          <w:tcPr/>
          <w:p>
            <w:pPr>
              <w:pStyle w:val="Compact"/>
            </w:pPr>
            <w:r>
              <w:t xml:space="preserve">양산 시작 전 / 공정 변경 시</w:t>
            </w:r>
          </w:p>
        </w:tc>
        <w:tc>
          <w:tcPr/>
          <w:p>
            <w:pPr>
              <w:pStyle w:val="Compact"/>
            </w:pPr>
            <w:r>
              <w:t xml:space="preserve">생산팀장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고장모드 식별, 공정 관리 최적화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공급망 FMEA</w:t>
            </w:r>
          </w:p>
        </w:tc>
        <w:tc>
          <w:tcPr/>
          <w:p>
            <w:pPr>
              <w:pStyle w:val="Compact"/>
            </w:pPr>
            <w:r>
              <w:t xml:space="preserve">공급자 선정/변경 시</w:t>
            </w:r>
          </w:p>
        </w:tc>
        <w:tc>
          <w:tcPr/>
          <w:p>
            <w:pPr>
              <w:pStyle w:val="Compact"/>
            </w:pPr>
            <w:r>
              <w:t xml:space="preserve">구매팀장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공급 리스크 식별, 대안 확보</w:t>
            </w:r>
          </w:p>
        </w:tc>
      </w:tr>
    </w:tbl>
    <w:bookmarkEnd w:id="26"/>
    <w:bookmarkStart w:id="27" w:name="fmea-실행-절차"/>
    <w:p>
      <w:pPr>
        <w:pStyle w:val="Heading2"/>
      </w:pPr>
      <w:r>
        <w:t xml:space="preserve">7.2 FMEA 실행 절차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단계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다기능팀(CFT) 구성 (설계/생산/품질/구매)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팀 구성표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분석 범위 정의 (제품/공정/시스템)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범위 정의서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기능/요구사항 식별</w:t>
            </w:r>
          </w:p>
        </w:tc>
        <w:tc>
          <w:tcPr/>
          <w:p>
            <w:pPr>
              <w:pStyle w:val="Compact"/>
            </w:pPr>
            <w:r>
              <w:t xml:space="preserve">기능 분석표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잠재 고장모드 식별</w:t>
            </w:r>
          </w:p>
        </w:tc>
        <w:tc>
          <w:tcPr/>
          <w:p>
            <w:pPr>
              <w:pStyle w:val="Compact"/>
            </w:pPr>
            <w:r>
              <w:t xml:space="preserve">고장모드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각 고장모드의 영향 분석 → 심각도(S) 평가</w:t>
            </w:r>
          </w:p>
        </w:tc>
        <w:tc>
          <w:tcPr/>
          <w:p>
            <w:pPr>
              <w:pStyle w:val="Compact"/>
            </w:pPr>
            <w:r>
              <w:t xml:space="preserve">S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잠재 원인 식별 → 발생도(O) 평가</w:t>
            </w:r>
          </w:p>
        </w:tc>
        <w:tc>
          <w:tcPr/>
          <w:p>
            <w:pPr>
              <w:pStyle w:val="Compact"/>
            </w:pPr>
            <w:r>
              <w:t xml:space="preserve">O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현재 관리방법(예방/검출) 식별 → 검출도(D) 평가</w:t>
            </w:r>
          </w:p>
        </w:tc>
        <w:tc>
          <w:tcPr/>
          <w:p>
            <w:pPr>
              <w:pStyle w:val="Compact"/>
            </w:pPr>
            <w:r>
              <w:t xml:space="preserve">D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RPN 산출 또는 AP(Action Priority) 결정</w:t>
            </w:r>
          </w:p>
        </w:tc>
        <w:tc>
          <w:tcPr/>
          <w:p>
            <w:pPr>
              <w:pStyle w:val="Compact"/>
            </w:pPr>
            <w:r>
              <w:t xml:space="preserve">RPN/AP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조치 우선순위에 따른 완화 조치 수립</w:t>
            </w:r>
          </w:p>
        </w:tc>
        <w:tc>
          <w:tcPr/>
          <w:p>
            <w:pPr>
              <w:pStyle w:val="Compact"/>
            </w:pPr>
            <w:r>
              <w:t xml:space="preserve">조치 계획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완화 조치 실행 및 효과 확인</w:t>
            </w:r>
          </w:p>
        </w:tc>
        <w:tc>
          <w:tcPr/>
          <w:p>
            <w:pPr>
              <w:pStyle w:val="Compact"/>
            </w:pPr>
            <w:r>
              <w:t xml:space="preserve">개선 후 S/O/D 재평가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FMEA 문서 갱신 및 승인</w:t>
            </w:r>
          </w:p>
        </w:tc>
        <w:tc>
          <w:tcPr/>
          <w:p>
            <w:pPr>
              <w:pStyle w:val="Compact"/>
            </w:pPr>
            <w:r>
              <w:t xml:space="preserve">갱신된 FMEA</w:t>
            </w:r>
          </w:p>
        </w:tc>
      </w:tr>
    </w:tbl>
    <w:bookmarkEnd w:id="27"/>
    <w:bookmarkStart w:id="28" w:name="rpn-기반-조치-기준"/>
    <w:p>
      <w:pPr>
        <w:pStyle w:val="Heading2"/>
      </w:pPr>
      <w:r>
        <w:t xml:space="preserve">7.3 RPN 기반 조치 기준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376"/>
        <w:gridCol w:w="2904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RPN 범위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리스크 수준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 요구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 이상</w:t>
            </w:r>
            <w:r>
              <w:t xml:space="preserve"> </w:t>
            </w:r>
            <w:r>
              <w:t xml:space="preserve">또는 S≥9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높음 (High)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즉시 조치 필수</w:t>
            </w:r>
            <w:r>
              <w:t xml:space="preserve"> </w:t>
            </w:r>
            <w:r>
              <w:t xml:space="preserve">— 완화 조치 수립/실행, 효과 확인 완료 전 양산 불가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100~199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중간 (Medium)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완화 조치 수립 필요 — 실행 계획 및 기한 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50~99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낮음 (Low)</w:t>
            </w:r>
          </w:p>
        </w:tc>
        <w:tc>
          <w:tcPr/>
          <w:p>
            <w:pPr>
              <w:pStyle w:val="Compact"/>
            </w:pPr>
            <w:r>
              <w:t xml:space="preserve">현 관리 수준 유지 — 모니터링 지속, 필요 시 개선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1~49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매우 낮음</w:t>
            </w:r>
          </w:p>
        </w:tc>
        <w:tc>
          <w:tcPr/>
          <w:p>
            <w:pPr>
              <w:pStyle w:val="Compact"/>
            </w:pPr>
            <w:r>
              <w:t xml:space="preserve">수용 가능 — 정기 검토 시 재확인</w:t>
            </w:r>
          </w:p>
        </w:tc>
      </w:tr>
    </w:tbl>
    <w:p>
      <w:pPr>
        <w:pStyle w:val="BlockText"/>
      </w:pPr>
      <w:r>
        <w:rPr>
          <w:b/>
          <w:bCs/>
        </w:rPr>
        <w:t xml:space="preserve">중요</w:t>
      </w:r>
      <w:r>
        <w:t xml:space="preserve">: 심각도(S) ≥ 9 (안전 관련)인 경우, RPN 값에 관계없이</w:t>
      </w:r>
      <w:r>
        <w:t xml:space="preserve"> </w:t>
      </w:r>
      <w:r>
        <w:rPr>
          <w:b/>
          <w:bCs/>
        </w:rPr>
        <w:t xml:space="preserve">무조건 조치 필수</w:t>
      </w:r>
      <w:r>
        <w:t xml:space="preserve">.</w:t>
      </w:r>
    </w:p>
    <w:bookmarkEnd w:id="28"/>
    <w:bookmarkEnd w:id="29"/>
    <w:bookmarkStart w:id="33" w:name="리스크-완화-및-관리"/>
    <w:p>
      <w:pPr>
        <w:pStyle w:val="Heading1"/>
      </w:pPr>
      <w:r>
        <w:t xml:space="preserve">8. 리스크 완화 및 관리</w:t>
      </w:r>
    </w:p>
    <w:bookmarkStart w:id="30" w:name="완화-전략"/>
    <w:p>
      <w:pPr>
        <w:pStyle w:val="Heading2"/>
      </w:pPr>
      <w:r>
        <w:t xml:space="preserve">8.1 완화 전략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376"/>
        <w:gridCol w:w="2376"/>
        <w:gridCol w:w="3168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전략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설명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회피 (Avoid)</w:t>
            </w:r>
          </w:p>
        </w:tc>
        <w:tc>
          <w:tcPr/>
          <w:p>
            <w:pPr>
              <w:pStyle w:val="Compact"/>
            </w:pPr>
            <w:r>
              <w:t xml:space="preserve">리스크 원인 자체를 제거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위험 설계 변경, 위험 자재 대체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저감 (Reduce)</w:t>
            </w:r>
          </w:p>
        </w:tc>
        <w:tc>
          <w:tcPr/>
          <w:p>
            <w:pPr>
              <w:pStyle w:val="Compact"/>
            </w:pPr>
            <w:r>
              <w:t xml:space="preserve">발생 가능성 또는 영향 감소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Poka-Yoke, 자동 검사, 공정 개선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전가 (Transfer)</w:t>
            </w:r>
          </w:p>
        </w:tc>
        <w:tc>
          <w:tcPr/>
          <w:p>
            <w:pPr>
              <w:pStyle w:val="Compact"/>
            </w:pPr>
            <w:r>
              <w:t xml:space="preserve">리스크를 제3자에게 이전</w:t>
            </w:r>
          </w:p>
        </w:tc>
        <w:tc>
          <w:tcPr/>
          <w:p>
            <w:pPr>
              <w:pStyle w:val="Compact"/>
            </w:pPr>
            <w:r>
              <w:t xml:space="preserve">보험, 외주 (단, 책임은 유지)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수용 (Accept)</w:t>
            </w:r>
          </w:p>
        </w:tc>
        <w:tc>
          <w:tcPr/>
          <w:p>
            <w:pPr>
              <w:pStyle w:val="Compact"/>
            </w:pPr>
            <w:r>
              <w:t xml:space="preserve">잔여 리스크를 수용</w:t>
            </w:r>
          </w:p>
        </w:tc>
        <w:tc>
          <w:tcPr/>
          <w:p>
            <w:pPr>
              <w:pStyle w:val="Compact"/>
            </w:pPr>
            <w:r>
              <w:t xml:space="preserve">저위험으로 평가 후 모니터링</w:t>
            </w:r>
          </w:p>
        </w:tc>
      </w:tr>
    </w:tbl>
    <w:bookmarkEnd w:id="30"/>
    <w:bookmarkStart w:id="31" w:name="리스크-등록부-risk-register"/>
    <w:p>
      <w:pPr>
        <w:pStyle w:val="Heading2"/>
      </w:pPr>
      <w:r>
        <w:t xml:space="preserve">8.2 리스크 등록부 (Risk Register)</w:t>
      </w:r>
    </w:p>
    <w:p>
      <w:pPr>
        <w:pStyle w:val="FirstParagraph"/>
      </w:pPr>
      <w:r>
        <w:t xml:space="preserve">리스크 등록부(F-814-01)에 다음 정보를 기록하고 유지한다: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13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65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 ID</w:t>
            </w:r>
          </w:p>
        </w:tc>
        <w:tc>
          <w:tcPr>
            <w:tcW w:w="66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고유 식별번호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 출처</w:t>
            </w:r>
          </w:p>
        </w:tc>
        <w:tc>
          <w:tcPr>
            <w:tcW w:w="66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DFMEA/PFMEA/공급망/기타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 설명</w:t>
            </w:r>
          </w:p>
        </w:tc>
        <w:tc>
          <w:tcPr/>
          <w:p>
            <w:pPr>
              <w:pStyle w:val="Compact"/>
            </w:pPr>
            <w:r>
              <w:t xml:space="preserve">고장모드/위험 상황 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 / O / D</w:t>
            </w:r>
          </w:p>
        </w:tc>
        <w:tc>
          <w:tcPr>
            <w:tcW w:w="6650" w:type="dxa"/>
          </w:tcPr>
          <w:p>
            <w:pPr>
              <w:pStyle w:val="Compact"/>
            </w:pPr>
            <w:r>
              <w:t xml:space="preserve">심각도, 발생도, 검출도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RPN / AP</w:t>
            </w:r>
          </w:p>
        </w:tc>
        <w:tc>
          <w:tcPr/>
          <w:p>
            <w:pPr>
              <w:pStyle w:val="Compact"/>
            </w:pPr>
            <w:r>
              <w:t xml:space="preserve">위험 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현재 관리방법</w:t>
            </w:r>
          </w:p>
        </w:tc>
        <w:tc>
          <w:tcPr/>
          <w:p>
            <w:pPr>
              <w:pStyle w:val="Compact"/>
            </w:pPr>
            <w:r>
              <w:t xml:space="preserve">예방/검출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완화 조치</w:t>
            </w:r>
          </w:p>
        </w:tc>
        <w:tc>
          <w:tcPr/>
          <w:p>
            <w:pPr>
              <w:pStyle w:val="Compact"/>
            </w:pPr>
            <w:r>
              <w:t xml:space="preserve">추가 조치 내용, 담당자, 기한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잔여 리스크</w:t>
            </w:r>
          </w:p>
        </w:tc>
        <w:tc>
          <w:tcPr/>
          <w:p>
            <w:pPr>
              <w:pStyle w:val="Compact"/>
            </w:pPr>
            <w:r>
              <w:t xml:space="preserve">조치 후 재평가 결과</w:t>
            </w:r>
          </w:p>
        </w:tc>
      </w:tr>
      <w:tr>
        <w:tc>
          <w:tcPr>
            <w:tcW w:w="2138" w:type="dxa"/>
          </w:tcPr>
          <w:p>
            <w:pPr>
              <w:pStyle w:val="Compact"/>
            </w:pPr>
            <w:r>
              <w:t xml:space="preserve">상태</w:t>
            </w:r>
          </w:p>
        </w:tc>
        <w:tc>
          <w:tcPr>
            <w:tcW w:w="66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Open / In Progress / Closed</w:t>
            </w:r>
          </w:p>
        </w:tc>
      </w:tr>
    </w:tbl>
    <w:bookmarkEnd w:id="31"/>
    <w:bookmarkStart w:id="32" w:name="리스크-모니터링"/>
    <w:p>
      <w:pPr>
        <w:pStyle w:val="Heading2"/>
      </w:pPr>
      <w:r>
        <w:t xml:space="preserve">8.3 리스크 모니터링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 등록부 검토</w:t>
            </w:r>
          </w:p>
        </w:tc>
        <w:tc>
          <w:tcPr/>
          <w:p>
            <w:pPr>
              <w:pStyle w:val="Compact"/>
            </w:pPr>
            <w:r>
              <w:t xml:space="preserve">분기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FMEA 정기 재평가</w:t>
            </w:r>
          </w:p>
        </w:tc>
        <w:tc>
          <w:tcPr/>
          <w:p>
            <w:pPr>
              <w:pStyle w:val="Compact"/>
            </w:pPr>
            <w:r>
              <w:t xml:space="preserve">연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기술팀장/생산팀장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고위험 항목 추적</w:t>
            </w:r>
          </w:p>
        </w:tc>
        <w:tc>
          <w:tcPr/>
          <w:p>
            <w:pPr>
              <w:pStyle w:val="Compact"/>
            </w:pPr>
            <w:r>
              <w:t xml:space="preserve">월 1회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경영검토 보고</w:t>
            </w:r>
          </w:p>
        </w:tc>
        <w:tc>
          <w:tcPr/>
          <w:p>
            <w:pPr>
              <w:pStyle w:val="Compact"/>
            </w:pPr>
            <w:r>
              <w:t xml:space="preserve">반기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</w:tr>
    </w:tbl>
    <w:bookmarkEnd w:id="32"/>
    <w:bookmarkEnd w:id="33"/>
    <w:bookmarkStart w:id="38" w:name="항공우주-특수-요구사항"/>
    <w:p>
      <w:pPr>
        <w:pStyle w:val="Heading1"/>
      </w:pPr>
      <w:r>
        <w:t xml:space="preserve">9. 항공우주 특수 요구사항</w:t>
      </w:r>
    </w:p>
    <w:bookmarkStart w:id="34" w:name="as9100d-8.1.2-고유-요구사항"/>
    <w:p>
      <w:pPr>
        <w:pStyle w:val="Heading2"/>
      </w:pPr>
      <w:r>
        <w:t xml:space="preserve">9.1 AS9100D 8.1.2 고유 요구사항</w:t>
      </w:r>
    </w:p>
    <w:p>
      <w:pPr>
        <w:pStyle w:val="FirstParagraph"/>
      </w:pPr>
      <w:r>
        <w:t xml:space="preserve">AS9100D는 ISO 9001에 없는</w:t>
      </w:r>
      <w:r>
        <w:t xml:space="preserve"> </w:t>
      </w:r>
      <w:r>
        <w:rPr>
          <w:b/>
          <w:bCs/>
        </w:rPr>
        <w:t xml:space="preserve">운영 리스크 관리</w:t>
      </w:r>
      <w:r>
        <w:t xml:space="preserve">를 별도로 요구한다: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751"/>
        <w:gridCol w:w="4168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요구사항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실현 계획 시 리스크 관리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신규 제품/공정 착수 시 FMEA 필수 실시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 관리 책임 부여</w:t>
            </w:r>
          </w:p>
        </w:tc>
        <w:tc>
          <w:tcPr>
            <w:tcW w:w="5788" w:type="dxa"/>
          </w:tcPr>
          <w:p>
            <w:pPr>
              <w:pStyle w:val="Compact"/>
            </w:pPr>
            <w:r>
              <w:t xml:space="preserve">프로세스별 리스크 소유자(Risk Owner) 지정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 수용 기준</w:t>
            </w:r>
          </w:p>
        </w:tc>
        <w:tc>
          <w:tcPr/>
          <w:p>
            <w:pPr>
              <w:pStyle w:val="Compact"/>
            </w:pPr>
            <w:r>
              <w:t xml:space="preserve">수용 가능 리스크 수준 기준 문서화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 완화 조치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높음/중간 리스크에 대한 완화 계획 수립 필수</w:t>
            </w:r>
          </w:p>
        </w:tc>
      </w:tr>
    </w:tbl>
    <w:bookmarkEnd w:id="34"/>
    <w:bookmarkStart w:id="35" w:name="안전-관련-리스크"/>
    <w:p>
      <w:pPr>
        <w:pStyle w:val="Heading2"/>
      </w:pPr>
      <w:r>
        <w:t xml:space="preserve">9.2 안전 관련 리스크</w:t>
      </w:r>
    </w:p>
    <w:p>
      <w:pPr>
        <w:pStyle w:val="FirstParagraph"/>
      </w:pPr>
      <w:r>
        <w:t xml:space="preserve">심각도(S) ≥ 9인 안전 관련 리스크는 QP-804 (제품/서비스 안전 관리)와 연계하여 추가 관리한다:</w:t>
      </w:r>
    </w:p>
    <w:p>
      <w:pPr>
        <w:pStyle w:val="Compact"/>
        <w:numPr>
          <w:ilvl w:val="0"/>
          <w:numId w:val="1002"/>
        </w:numPr>
      </w:pPr>
      <w:r>
        <w:t xml:space="preserve">안전 관련 고장모드는 별도 표시 (Safety Critical)</w:t>
      </w:r>
    </w:p>
    <w:p>
      <w:pPr>
        <w:pStyle w:val="Compact"/>
        <w:numPr>
          <w:ilvl w:val="0"/>
          <w:numId w:val="1002"/>
        </w:numPr>
      </w:pPr>
      <w:r>
        <w:t xml:space="preserve">안전 리스크는 수용(Accept) 불가 — 반드시 회피 또는 저감</w:t>
      </w:r>
    </w:p>
    <w:p>
      <w:pPr>
        <w:pStyle w:val="Compact"/>
        <w:numPr>
          <w:ilvl w:val="0"/>
          <w:numId w:val="1002"/>
        </w:numPr>
      </w:pPr>
      <w:r>
        <w:t xml:space="preserve">안전 관련 리스크의 변경 시 고객/규제당국 통보 필요</w:t>
      </w:r>
    </w:p>
    <w:p>
      <w:pPr>
        <w:pStyle w:val="Compact"/>
        <w:numPr>
          <w:ilvl w:val="0"/>
          <w:numId w:val="1002"/>
        </w:numPr>
      </w:pPr>
      <w:r>
        <w:t xml:space="preserve">안전 리스크 관련 기록은 제품 수명주기 + 15년 보존</w:t>
      </w:r>
    </w:p>
    <w:bookmarkEnd w:id="35"/>
    <w:bookmarkStart w:id="36" w:name="특수공정-리스크"/>
    <w:p>
      <w:pPr>
        <w:pStyle w:val="Heading2"/>
      </w:pPr>
      <w:r>
        <w:t xml:space="preserve">9.3 특수공정 리스크</w:t>
      </w:r>
    </w:p>
    <w:p>
      <w:pPr>
        <w:pStyle w:val="FirstParagraph"/>
      </w:pPr>
      <w:r>
        <w:t xml:space="preserve">특수공정(열처리, 도금, 용접, NDT 등)의 리스크:</w:t>
      </w:r>
      <w:r>
        <w:t xml:space="preserve"> </w:t>
      </w:r>
      <w:r>
        <w:t xml:space="preserve">- 공정 결과를 사후 검사로 완전히 검증할 수 없으므로 리스크 관리 강화</w:t>
      </w:r>
      <w:r>
        <w:t xml:space="preserve"> </w:t>
      </w:r>
      <w:r>
        <w:t xml:space="preserve">- 공정 파라미터, 작업자 자격, 장비 상태에 대한 리스크 식별</w:t>
      </w:r>
      <w:r>
        <w:t xml:space="preserve"> </w:t>
      </w:r>
      <w:r>
        <w:t xml:space="preserve">- 공정 능력(Cpk) 모니터링과 연계</w:t>
      </w:r>
    </w:p>
    <w:bookmarkEnd w:id="36"/>
    <w:bookmarkStart w:id="37" w:name="공급망-리스크"/>
    <w:p>
      <w:pPr>
        <w:pStyle w:val="Heading2"/>
      </w:pPr>
      <w:r>
        <w:t xml:space="preserve">9.4 공급망 리스크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73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리스크 유형</w:t>
            </w:r>
          </w:p>
        </w:tc>
        <w:tc>
          <w:tcPr>
            <w:tcW w:w="605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리스크</w:t>
            </w:r>
          </w:p>
        </w:tc>
        <w:tc>
          <w:tcPr>
            <w:tcW w:w="605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공급자 품질 실적, 부적합 이력, 인증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납기 리스크</w:t>
            </w:r>
          </w:p>
        </w:tc>
        <w:tc>
          <w:tcPr>
            <w:tcW w:w="605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납기 준수율, 리드타임 안정성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위조부품 리스크</w:t>
            </w:r>
          </w:p>
        </w:tc>
        <w:tc>
          <w:tcPr/>
          <w:p>
            <w:pPr>
              <w:pStyle w:val="Compact"/>
            </w:pPr>
            <w:r>
              <w:t xml:space="preserve">인증 부품 조달 여부, 공급망 추적성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단일 공급원 리스크</w:t>
            </w:r>
          </w:p>
        </w:tc>
        <w:tc>
          <w:tcPr>
            <w:tcW w:w="605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대체 공급자 확보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재무 리스크</w:t>
            </w:r>
          </w:p>
        </w:tc>
        <w:tc>
          <w:tcPr/>
          <w:p>
            <w:pPr>
              <w:pStyle w:val="Compact"/>
            </w:pPr>
            <w:r>
              <w:t xml:space="preserve">공급자 재무 안정성</w:t>
            </w:r>
          </w:p>
        </w:tc>
      </w:tr>
    </w:tbl>
    <w:bookmarkEnd w:id="37"/>
    <w:bookmarkEnd w:id="38"/>
    <w:bookmarkStart w:id="39" w:name="기록-관리"/>
    <w:p>
      <w:pPr>
        <w:pStyle w:val="Heading1"/>
      </w:pPr>
      <w:r>
        <w:t xml:space="preserve">10. 기록 관리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DFMEA</w:t>
            </w:r>
          </w:p>
        </w:tc>
        <w:tc>
          <w:tcPr/>
          <w:p>
            <w:pPr>
              <w:pStyle w:val="Compact"/>
            </w:pPr>
            <w:r>
              <w:t xml:space="preserve">제품 수명주기 + 10년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DMS 등록, 제품별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PFMEA</w:t>
            </w:r>
          </w:p>
        </w:tc>
        <w:tc>
          <w:tcPr/>
          <w:p>
            <w:pPr>
              <w:pStyle w:val="Compact"/>
            </w:pPr>
            <w:r>
              <w:t xml:space="preserve">제품 수명주기 + 10년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DMS 등록, 공정별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 등록부</w:t>
            </w:r>
          </w:p>
        </w:tc>
        <w:tc>
          <w:tcPr/>
          <w:p>
            <w:pPr>
              <w:pStyle w:val="Compact"/>
            </w:pPr>
            <w:r>
              <w:t xml:space="preserve">QMS 유지 기간</w:t>
            </w:r>
          </w:p>
        </w:tc>
        <w:tc>
          <w:tcPr/>
          <w:p>
            <w:pPr>
              <w:pStyle w:val="Compact"/>
            </w:pPr>
            <w:r>
              <w:t xml:space="preserve">DMS 등록, 상시 갱신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 완화 조치 기록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리스크 등록부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공급망 리스크 평가</w:t>
            </w:r>
          </w:p>
        </w:tc>
        <w:tc>
          <w:tcPr/>
          <w:p>
            <w:pPr>
              <w:pStyle w:val="Compact"/>
            </w:pPr>
            <w:r>
              <w:t xml:space="preserve">거래 기간 + 3년</w:t>
            </w:r>
          </w:p>
        </w:tc>
        <w:tc>
          <w:tcPr/>
          <w:p>
            <w:pPr>
              <w:pStyle w:val="Compact"/>
            </w:pPr>
            <w:r>
              <w:t xml:space="preserve">QP-808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관련 리스크 기록</w:t>
            </w:r>
          </w:p>
        </w:tc>
        <w:tc>
          <w:tcPr/>
          <w:p>
            <w:pPr>
              <w:pStyle w:val="Compact"/>
            </w:pPr>
            <w:r>
              <w:t xml:space="preserve">제품 수명주기 + 15년</w:t>
            </w:r>
          </w:p>
        </w:tc>
        <w:tc>
          <w:tcPr/>
          <w:p>
            <w:pPr>
              <w:pStyle w:val="Compact"/>
            </w:pPr>
            <w:r>
              <w:t xml:space="preserve">QP-804 연계</w:t>
            </w:r>
          </w:p>
        </w:tc>
      </w:tr>
    </w:tbl>
    <w:bookmarkEnd w:id="39"/>
    <w:bookmarkStart w:id="42" w:name="관련-문서-및-양식"/>
    <w:p>
      <w:pPr>
        <w:pStyle w:val="Heading1"/>
      </w:pPr>
      <w:r>
        <w:t xml:space="preserve">11. 관련 문서 및 양식</w:t>
      </w:r>
    </w:p>
    <w:bookmarkStart w:id="40" w:name="관련-절차서"/>
    <w:p>
      <w:pPr>
        <w:pStyle w:val="Heading2"/>
      </w:pPr>
      <w:r>
        <w:t xml:space="preserve">11.1 관련 절차서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연관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상위 문서 (§8.1.2)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QP-601</w:t>
            </w:r>
          </w:p>
        </w:tc>
        <w:tc>
          <w:tcPr/>
          <w:p>
            <w:pPr>
              <w:pStyle w:val="Compact"/>
            </w:pPr>
            <w:r>
              <w:t xml:space="preserve">리스크/기회 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전략적 리스크 (6.1)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QP-804</w:t>
            </w:r>
          </w:p>
        </w:tc>
        <w:tc>
          <w:tcPr/>
          <w:p>
            <w:pPr>
              <w:pStyle w:val="Compact"/>
            </w:pPr>
            <w:r>
              <w:t xml:space="preserve">제품/서비스 안전</w:t>
            </w:r>
          </w:p>
        </w:tc>
        <w:tc>
          <w:tcPr/>
          <w:p>
            <w:pPr>
              <w:pStyle w:val="Compact"/>
            </w:pPr>
            <w:r>
              <w:t xml:space="preserve">안전 리스크 연계 (S≥9)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QP-807</w:t>
            </w:r>
          </w:p>
        </w:tc>
        <w:tc>
          <w:tcPr/>
          <w:p>
            <w:pPr>
              <w:pStyle w:val="Compact"/>
            </w:pPr>
            <w:r>
              <w:t xml:space="preserve">설계/개발</w:t>
            </w:r>
          </w:p>
        </w:tc>
        <w:tc>
          <w:tcPr/>
          <w:p>
            <w:pPr>
              <w:pStyle w:val="Compact"/>
            </w:pPr>
            <w:r>
              <w:t xml:space="preserve">DFMEA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QP-810</w:t>
            </w:r>
          </w:p>
        </w:tc>
        <w:tc>
          <w:tcPr/>
          <w:p>
            <w:pPr>
              <w:pStyle w:val="Compact"/>
            </w:pPr>
            <w:r>
              <w:t xml:space="preserve">생산/서비스 관리</w:t>
            </w:r>
          </w:p>
        </w:tc>
        <w:tc>
          <w:tcPr/>
          <w:p>
            <w:pPr>
              <w:pStyle w:val="Compact"/>
            </w:pPr>
            <w:r>
              <w:t xml:space="preserve">PFMEA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QP-808</w:t>
            </w:r>
          </w:p>
        </w:tc>
        <w:tc>
          <w:tcPr/>
          <w:p>
            <w:pPr>
              <w:pStyle w:val="Compact"/>
            </w:pPr>
            <w:r>
              <w:t xml:space="preserve">외부공급자 관리</w:t>
            </w:r>
          </w:p>
        </w:tc>
        <w:tc>
          <w:tcPr/>
          <w:p>
            <w:pPr>
              <w:pStyle w:val="Compact"/>
            </w:pPr>
            <w:r>
              <w:t xml:space="preserve">공급망 리스크 연계</w:t>
            </w:r>
          </w:p>
        </w:tc>
      </w:tr>
    </w:tbl>
    <w:bookmarkEnd w:id="40"/>
    <w:bookmarkStart w:id="41" w:name="관련-양식"/>
    <w:p>
      <w:pPr>
        <w:pStyle w:val="Heading2"/>
      </w:pPr>
      <w:r>
        <w:t xml:space="preserve">11.2 관련 양식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F-802-01</w:t>
            </w:r>
          </w:p>
        </w:tc>
        <w:tc>
          <w:tcPr/>
          <w:p>
            <w:pPr>
              <w:pStyle w:val="Compact"/>
            </w:pPr>
            <w:r>
              <w:t xml:space="preserve">DFMEA 워크시트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설계 FMEA 분석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F-802-02</w:t>
            </w:r>
          </w:p>
        </w:tc>
        <w:tc>
          <w:tcPr/>
          <w:p>
            <w:pPr>
              <w:pStyle w:val="Compact"/>
            </w:pPr>
            <w:r>
              <w:t xml:space="preserve">PFMEA 워크시트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FMEA 분석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F-802-03</w:t>
            </w:r>
          </w:p>
        </w:tc>
        <w:tc>
          <w:tcPr/>
          <w:p>
            <w:pPr>
              <w:pStyle w:val="Compact"/>
            </w:pPr>
            <w:r>
              <w:t xml:space="preserve">공급망 리스크 평가서</w:t>
            </w:r>
          </w:p>
        </w:tc>
        <w:tc>
          <w:tcPr/>
          <w:p>
            <w:pPr>
              <w:pStyle w:val="Compact"/>
            </w:pPr>
            <w:r>
              <w:t xml:space="preserve">공급자 리스크 평가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F-814-01</w:t>
            </w:r>
          </w:p>
        </w:tc>
        <w:tc>
          <w:tcPr/>
          <w:p>
            <w:pPr>
              <w:pStyle w:val="Compact"/>
            </w:pPr>
            <w:r>
              <w:t xml:space="preserve">리스크 등록부</w:t>
            </w:r>
          </w:p>
        </w:tc>
        <w:tc>
          <w:tcPr/>
          <w:p>
            <w:pPr>
              <w:pStyle w:val="Compact"/>
            </w:pPr>
            <w:r>
              <w:t xml:space="preserve">전사 리스크 통합 관리 (QP-601 공용)</w:t>
            </w:r>
          </w:p>
        </w:tc>
      </w:tr>
    </w:tbl>
    <w:p>
      <w:pPr>
        <w:pStyle w:val="BodyText"/>
      </w:pPr>
      <w:r>
        <w:rPr>
          <w:b/>
          <w:bCs/>
        </w:rPr>
        <w:t xml:space="preserve">문서 끝 — QP-802 Rev. 0</w:t>
      </w:r>
    </w:p>
    <w:bookmarkEnd w:id="41"/>
    <w:bookmarkEnd w:id="42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운영 리스크 관리 절차서 (FMEA 포함)</w:t>
    </w:r>
    <w:r>
      <w:tab/>
    </w:r>
    <w:r>
      <w:t>2026년 4월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운영 리스크 관리 절차서 (FMEA 포함)</w:t>
    </w:r>
    <w:r>
      <w:tab/>
    </w:r>
    <w:r>
      <w:rPr>
        <w:sz w:val="18"/>
      </w:rPr>
      <w:t>QP-802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44"/>
      <w:szCs w:val="4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운영 리스크 관리 절차서 (FMEA 포함)</dc:title>
  <dc:creator/>
  <cp:keywords/>
  <dcterms:created xsi:type="dcterms:W3CDTF">2026-04-10T08:21:05Z</dcterms:created>
  <dcterms:modified xsi:type="dcterms:W3CDTF">2026-04-10T08:21:05Z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QP-802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