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외부공급자 선정/평가/관리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QP-808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외부공급자 선정/평가/관리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작성, CAR-009/CAR-010 시정조치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6948b0cce09d5ba78a837f09940ec219e7735d">
        <w:r>
          <w:rPr>
            <w:rStyle w:val="Hyperlink"/>
          </w:rPr>
          <w:t xml:space="preserve">외부공급자 분류 체계</w:t>
        </w:r>
      </w:hyperlink>
    </w:p>
    <w:p>
      <w:pPr>
        <w:pStyle w:val="Compact"/>
        <w:numPr>
          <w:ilvl w:val="0"/>
          <w:numId w:val="1001"/>
        </w:numPr>
      </w:pPr>
      <w:hyperlink w:anchor="X442fa1ee0b8b97a2fa188ffc356a979afa59174">
        <w:r>
          <w:rPr>
            <w:rStyle w:val="Hyperlink"/>
          </w:rPr>
          <w:t xml:space="preserve">공급자 선정 및 초기 평가 절차</w:t>
        </w:r>
      </w:hyperlink>
    </w:p>
    <w:p>
      <w:pPr>
        <w:pStyle w:val="Compact"/>
        <w:numPr>
          <w:ilvl w:val="0"/>
          <w:numId w:val="1001"/>
        </w:numPr>
      </w:pPr>
      <w:hyperlink w:anchor="X8988f7913d38f5ff1362bd149cb2172fceafede">
        <w:r>
          <w:rPr>
            <w:rStyle w:val="Hyperlink"/>
          </w:rPr>
          <w:t xml:space="preserve">공급자 승인 및 ASL 등재 프로세스</w:t>
        </w:r>
      </w:hyperlink>
    </w:p>
    <w:p>
      <w:pPr>
        <w:pStyle w:val="Compact"/>
        <w:numPr>
          <w:ilvl w:val="0"/>
          <w:numId w:val="1001"/>
        </w:numPr>
      </w:pPr>
      <w:hyperlink w:anchor="X3f02b7656f322538c3bf0491ccbd8052aa5986d">
        <w:r>
          <w:rPr>
            <w:rStyle w:val="Hyperlink"/>
          </w:rPr>
          <w:t xml:space="preserve">공급자 모니터링 및 정기 재평가</w:t>
        </w:r>
      </w:hyperlink>
    </w:p>
    <w:p>
      <w:pPr>
        <w:pStyle w:val="Compact"/>
        <w:numPr>
          <w:ilvl w:val="0"/>
          <w:numId w:val="1001"/>
        </w:numPr>
      </w:pPr>
      <w:hyperlink w:anchor="X0e9197b50e33ac2f11cab71bee19ba959953c5b">
        <w:r>
          <w:rPr>
            <w:rStyle w:val="Hyperlink"/>
          </w:rPr>
          <w:t xml:space="preserve">외주 특수공정 관리</w:t>
        </w:r>
      </w:hyperlink>
    </w:p>
    <w:p>
      <w:pPr>
        <w:pStyle w:val="Compact"/>
        <w:numPr>
          <w:ilvl w:val="0"/>
          <w:numId w:val="1001"/>
        </w:numPr>
      </w:pPr>
      <w:hyperlink w:anchor="X463e65c0207a18562575a0c3b706bc62d88ada8">
        <w:r>
          <w:rPr>
            <w:rStyle w:val="Hyperlink"/>
          </w:rPr>
          <w:t xml:space="preserve">위조부품 방지</w:t>
        </w:r>
      </w:hyperlink>
    </w:p>
    <w:p>
      <w:pPr>
        <w:pStyle w:val="Compact"/>
        <w:numPr>
          <w:ilvl w:val="0"/>
          <w:numId w:val="1001"/>
        </w:numPr>
      </w:pPr>
      <w:hyperlink w:anchor="Xfa0d40dce4eefc8fae80bf072852568e7fcfa00">
        <w:r>
          <w:rPr>
            <w:rStyle w:val="Hyperlink"/>
          </w:rPr>
          <w:t xml:space="preserve">공급자 부적합 처리 및 시정조치</w:t>
        </w:r>
      </w:hyperlink>
    </w:p>
    <w:p>
      <w:pPr>
        <w:pStyle w:val="Compact"/>
        <w:numPr>
          <w:ilvl w:val="0"/>
          <w:numId w:val="1001"/>
        </w:numPr>
      </w:pPr>
      <w:hyperlink w:anchor="X0c828f7383b0ef5c3871a81dd7abf03183612a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101ba777e372cf23035eececbe02433e80f5bfd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440f107cf8d8777df3cad8fcccb29a177da7bdc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항공우주 제품에 영향을 미치는 모든 외부공급자(External Provider)를 체계적으로 선정, 평가, 승인 및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8.4.1~8.4.3 요구사항에 따른 외부공급자 관리 프로세스 수립</w:t>
      </w:r>
      <w:r>
        <w:t xml:space="preserve"> </w:t>
      </w:r>
      <w:r>
        <w:t xml:space="preserve">- 승인 공급업체 목록(ASL, Approved Supplier List) 체계 수립 및 운영</w:t>
      </w:r>
      <w:r>
        <w:t xml:space="preserve"> </w:t>
      </w:r>
      <w:r>
        <w:t xml:space="preserve">- 리스크 기반 접근법(Risk-Based Approach)에 의한 공급자 관리 수준 차등 적용</w:t>
      </w:r>
      <w:r>
        <w:t xml:space="preserve"> </w:t>
      </w:r>
      <w:r>
        <w:t xml:space="preserve">- 외주 특수공정(도금/열처리/비파괴검사 등) 관리 기준 수립</w:t>
      </w:r>
      <w:r>
        <w:t xml:space="preserve"> </w:t>
      </w:r>
      <w:r>
        <w:t xml:space="preserve">- 위조부품(Counterfeit Parts) 방지 관리 체계 구축</w:t>
      </w:r>
      <w:r>
        <w:t xml:space="preserve"> </w:t>
      </w:r>
      <w:r>
        <w:t xml:space="preserve">- 공급자 성과 모니터링(품질/납기/서비스) 및 정기 재평가 프로세스 수립</w:t>
      </w:r>
      <w:r>
        <w:t xml:space="preserve"> </w:t>
      </w:r>
      <w:r>
        <w:t xml:space="preserve">- 고객 지정 공급자(Customer-Directed Source) 및 정부/규제기관 접근권 보장</w:t>
      </w:r>
      <w:r>
        <w:t xml:space="preserve"> </w:t>
      </w:r>
      <w:r>
        <w:t xml:space="preserve">- 요구사항의 하위 공급자(Sub-Tier Supplier)까지의 전달(Flow-Down) 체계 확립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CAR-009</w:t>
      </w:r>
      <w:r>
        <w:t xml:space="preserve"> </w:t>
      </w:r>
      <w:r>
        <w:t xml:space="preserve">(ASL 미작성, 공급자 평가 이력 없음)</w:t>
      </w:r>
      <w:r>
        <w:t xml:space="preserve"> </w:t>
      </w:r>
      <w:r>
        <w:rPr>
          <w:b/>
          <w:bCs/>
        </w:rPr>
        <w:t xml:space="preserve">시정조치 반영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CAR-010</w:t>
      </w:r>
      <w:r>
        <w:t xml:space="preserve"> </w:t>
      </w:r>
      <w:r>
        <w:t xml:space="preserve">(외주 특수공정 관리 절차 미수립, 도금/열처리/비파괴검사 외주처 관리 기준 없음)</w:t>
      </w:r>
      <w:r>
        <w:t xml:space="preserve"> </w:t>
      </w:r>
      <w:r>
        <w:rPr>
          <w:b/>
          <w:bCs/>
        </w:rPr>
        <w:t xml:space="preserve">시정조치 반영</w:t>
      </w:r>
    </w:p>
    <w:p>
      <w:pPr>
        <w:pStyle w:val="BlockText"/>
      </w:pPr>
      <w:r>
        <w:rPr>
          <w:b/>
          <w:bCs/>
        </w:rPr>
        <w:t xml:space="preserve">CAR-009 시정조치 사항</w:t>
      </w:r>
      <w:r>
        <w:t xml:space="preserve">:</w:t>
      </w:r>
      <w:r>
        <w:t xml:space="preserve"> </w:t>
      </w:r>
      <w:r>
        <w:t xml:space="preserve">- 근본원인: 공급자 평가/승인 제도 자체가 미수립, 관행적으로 가격/납기 기준만으로 발주</w:t>
      </w:r>
      <w:r>
        <w:t xml:space="preserve"> </w:t>
      </w:r>
      <w:r>
        <w:t xml:space="preserve">- 시정조치 1: 외부공급자 선정/평가/관리 절차서 제정 (본 문서 QP-808)</w:t>
      </w:r>
      <w:r>
        <w:t xml:space="preserve"> </w:t>
      </w:r>
      <w:r>
        <w:t xml:space="preserve">- 시정조치 2: ASL(승인 공급업체 목록) 작성 및 등재 기준 수립 (QF-808-02)</w:t>
      </w:r>
      <w:r>
        <w:t xml:space="preserve"> </w:t>
      </w:r>
      <w:r>
        <w:t xml:space="preserve">- 시정조치 3: 기존 거래 공급자에 대한 소급 평가 실시 (초기 평가 시행)</w:t>
      </w:r>
    </w:p>
    <w:p>
      <w:pPr>
        <w:pStyle w:val="BlockText"/>
      </w:pPr>
      <w:r>
        <w:rPr>
          <w:b/>
          <w:bCs/>
        </w:rPr>
        <w:t xml:space="preserve">CAR-010 시정조치 사항</w:t>
      </w:r>
      <w:r>
        <w:t xml:space="preserve">:</w:t>
      </w:r>
      <w:r>
        <w:t xml:space="preserve"> </w:t>
      </w:r>
      <w:r>
        <w:t xml:space="preserve">- 근본원인: 외주 공정을 일반 구매로 분류하여 특수공정 품질 요건 적용 누락</w:t>
      </w:r>
      <w:r>
        <w:t xml:space="preserve"> </w:t>
      </w:r>
      <w:r>
        <w:t xml:space="preserve">- 시정조치 1: 외주 특수공정 관리 절차 수립 (본 문서 10절)</w:t>
      </w:r>
      <w:r>
        <w:t xml:space="preserve"> </w:t>
      </w:r>
      <w:r>
        <w:t xml:space="preserve">- 시정조치 2: 승인된 외주처(ASL) 등재 기준 수립 — NADCAP 인증 공급자 우대</w:t>
      </w:r>
      <w:r>
        <w:t xml:space="preserve"> </w:t>
      </w:r>
      <w:r>
        <w:t xml:space="preserve">- 시정조치 3: 외주처 정기 감사 계획 수립 (연 1회 이상)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VINA에서 항공우주 제품의 생산, 검사, 서비스에 영향을 미치는 모든 외부공급자에게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80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공급자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금속(알루미늄, 티타늄, 인코넬 등), 수지, 화학약품, 원부자재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부품/구성품 공급자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전자부품, 기계부품, 커넥터, 하네스 부재료, 표준품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외주가공 공급자</w:t>
            </w:r>
          </w:p>
        </w:tc>
        <w:tc>
          <w:tcPr/>
          <w:p>
            <w:pPr>
              <w:pStyle w:val="Compact"/>
            </w:pPr>
            <w:r>
              <w:t xml:space="preserve">CNC 가공, 판금, 사출성형, 조립 등 일반 가공 외주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공급자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도금(Plating), 열처리(Heat Treatment), 비파괴검사(NDT), 용접(Welding), 도장(Painting), 화학처리(Chemical Processing)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공급자</w:t>
            </w:r>
          </w:p>
        </w:tc>
        <w:tc>
          <w:tcPr/>
          <w:p>
            <w:pPr>
              <w:pStyle w:val="Compact"/>
            </w:pPr>
            <w:r>
              <w:t xml:space="preserve">교정(Calibration), 교육(Training), 시험(Testing), 물류(Logistics)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유통업체/대리점</w:t>
            </w:r>
          </w:p>
        </w:tc>
        <w:tc>
          <w:tcPr/>
          <w:p>
            <w:pPr>
              <w:pStyle w:val="Compact"/>
            </w:pPr>
            <w:r>
              <w:t xml:space="preserve">전자부품 유통업체(Authorized Distributor), 원자재 대리점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구매(PUR), 품질(Chất lượng), 생산(Sản xuất), 개발(Phát triển), 생산계획(KHSX), 영업(Kinh doanh)</w:t>
      </w:r>
    </w:p>
    <w:p>
      <w:pPr>
        <w:pStyle w:val="BodyText"/>
      </w:pPr>
      <w:r>
        <w:rPr>
          <w:b/>
          <w:bCs/>
        </w:rPr>
        <w:t xml:space="preserve">적용 제외</w:t>
      </w:r>
      <w:r>
        <w:t xml:space="preserve">: 사무용품, 청소/식당 등 제품 품질에 직접 영향이 없는 간접 서비스는 본 절차의 적용 범위에서 제외하되, 구매팀이 해당 여부를 판단하고 기록한다.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(8.4.1~8.4.3항)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AS9120B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유통업체 품질경영시스템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AS6081</w:t>
            </w:r>
          </w:p>
        </w:tc>
        <w:tc>
          <w:tcPr/>
          <w:p>
            <w:pPr>
              <w:pStyle w:val="Compact"/>
            </w:pPr>
            <w:r>
              <w:t xml:space="preserve">위조/부적합 전자부품: 유통업체의 방지, 검출 및 처분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AS6174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위조부품: 취득(Acquisition)에서의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AS6171</w:t>
            </w:r>
          </w:p>
        </w:tc>
        <w:tc>
          <w:tcPr/>
          <w:p>
            <w:pPr>
              <w:pStyle w:val="Compact"/>
            </w:pPr>
            <w:r>
              <w:t xml:space="preserve">위조/부적합 전자부품: 시험 방법론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C</w:t>
            </w:r>
          </w:p>
        </w:tc>
        <w:tc>
          <w:tcPr/>
          <w:p>
            <w:pPr>
              <w:pStyle w:val="Compact"/>
            </w:pPr>
            <w:r>
              <w:t xml:space="preserve">항공우주 초도품 검사(FAI)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(Nadcap)</w:t>
            </w:r>
          </w:p>
        </w:tc>
        <w:tc>
          <w:tcPr/>
          <w:p>
            <w:pPr>
              <w:pStyle w:val="Compact"/>
            </w:pPr>
            <w:r>
              <w:t xml:space="preserve">특수공정 인증 프로그램 (PRI, Performance Review Institute 운영)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AS7003</w:t>
            </w:r>
          </w:p>
        </w:tc>
        <w:tc>
          <w:tcPr/>
          <w:p>
            <w:pPr>
              <w:pStyle w:val="Compact"/>
            </w:pPr>
            <w:r>
              <w:t xml:space="preserve">구매자를 위한 위조 전자부품 회피 —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DFARS 252.246-7007</w:t>
            </w:r>
          </w:p>
        </w:tc>
        <w:tc>
          <w:tcPr/>
          <w:p>
            <w:pPr>
              <w:pStyle w:val="Compact"/>
            </w:pPr>
            <w:r>
              <w:t xml:space="preserve">미 국방성 위조 전자부품 방지 요구사항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§8.4 외부적으로 제공되는 프로세스, 제품 및 서비스의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/>
          <w:p>
            <w:pPr>
              <w:pStyle w:val="Compact"/>
            </w:pPr>
            <w:r>
              <w:t xml:space="preserve">운용 기획 관리 절차서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t xml:space="preserve">QP-802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운영 리스크 관리 절차서 (FMEA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계약검토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생산 및 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부적합/시정조치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외부공급자 (External Provider)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 외부에서 프로세스, 제품 또는 서비스의 일부를 제공하는 조직. 공급자, 하청업체, 외주업체를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 (Approved Supplier List)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 공급업체 목록 — 초기 평가를 통과하여 거래가 승인된 외부공급자의 등록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QVL (Qualified Vendor List)</w:t>
            </w:r>
          </w:p>
        </w:tc>
        <w:tc>
          <w:tcPr/>
          <w:p>
            <w:pPr>
              <w:pStyle w:val="Compact"/>
            </w:pPr>
            <w:r>
              <w:t xml:space="preserve">적격 판매자 목록 — 고객이 지정하거나 특정 제품/공정에 대해 적격성이 확인된 공급자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(Special Process)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결과로 나오는 출력을 후속 모니터링 또는 측정으로 검증할 수 없거나, 제품 사용 또는 서비스 인도 후에만 결함이 드러나는 공정 (예: 용접, 열처리, 도금, 비파괴검사, 도장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(Nadcap)</w:t>
            </w:r>
          </w:p>
        </w:tc>
        <w:tc>
          <w:tcPr/>
          <w:p>
            <w:pPr>
              <w:pStyle w:val="Compact"/>
            </w:pPr>
            <w:r>
              <w:t xml:space="preserve">National Aerospace and Defense Contractors Accreditation Program — PRI가 운영하는 항공우주/방산 특수공정 인증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OASIS (Online Aerospace Supplier Information System)</w:t>
            </w:r>
          </w:p>
        </w:tc>
        <w:tc>
          <w:tcPr/>
          <w:p>
            <w:pPr>
              <w:pStyle w:val="Compact"/>
            </w:pPr>
            <w:r>
              <w:t xml:space="preserve">IAQG가 운영하는 항공우주 공급자 정보 데이터베이스. 공급자 인증 현황, 심사 결과 등 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공급자 (Customer-Directed Source)</w:t>
            </w:r>
          </w:p>
        </w:tc>
        <w:tc>
          <w:tcPr/>
          <w:p>
            <w:pPr>
              <w:pStyle w:val="Compact"/>
            </w:pPr>
            <w:r>
              <w:t xml:space="preserve">고객이 계약/주문서에 사용을 지정/요구한 특정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(Counterfeit Part)</w:t>
            </w:r>
          </w:p>
        </w:tc>
        <w:tc>
          <w:tcPr/>
          <w:p>
            <w:pPr>
              <w:pStyle w:val="Compact"/>
            </w:pPr>
            <w:r>
              <w:t xml:space="preserve">출처, 재질, 성능, 인증 등이 의도적으로 허위 표시된 부품 또는 재료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의심부품 (Suspect Part)</w:t>
            </w:r>
          </w:p>
        </w:tc>
        <w:tc>
          <w:tcPr/>
          <w:p>
            <w:pPr>
              <w:pStyle w:val="Compact"/>
            </w:pPr>
            <w:r>
              <w:t xml:space="preserve">위조 여부가 확실하지 않으나, 출처/외관/시험 결과 등에서 이상 징후가 발견된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공급자 (Sub-Tier Supplier)</w:t>
            </w:r>
          </w:p>
        </w:tc>
        <w:tc>
          <w:tcPr/>
          <w:p>
            <w:pPr>
              <w:pStyle w:val="Compact"/>
            </w:pPr>
            <w:r>
              <w:t xml:space="preserve">당사의 직접 공급자(1차 공급자)에게 제품/서비스를 제공하는 간접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Flow-Down</w:t>
            </w:r>
          </w:p>
        </w:tc>
        <w:tc>
          <w:tcPr/>
          <w:p>
            <w:pPr>
              <w:pStyle w:val="Compact"/>
            </w:pPr>
            <w:r>
              <w:t xml:space="preserve">당사가 받은 고객/규제 요구사항을 하위 공급자에게 전달(흘려보내기)하는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OTD (On-Time Delivery)</w:t>
            </w:r>
          </w:p>
        </w:tc>
        <w:tc>
          <w:tcPr/>
          <w:p>
            <w:pPr>
              <w:pStyle w:val="Compact"/>
            </w:pPr>
            <w:r>
              <w:t xml:space="preserve">정시 납품률 — 약정 납기 대비 실제 납품 일자의 준수율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PPM (Parts Per Million)</w:t>
            </w:r>
          </w:p>
        </w:tc>
        <w:tc>
          <w:tcPr/>
          <w:p>
            <w:pPr>
              <w:pStyle w:val="Compact"/>
            </w:pPr>
            <w:r>
              <w:t xml:space="preserve">백만개당 불량수 — 공급자 납품 품질 수준을 나타내는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 (Supplier Corrective Action Request)</w:t>
            </w:r>
          </w:p>
        </w:tc>
        <w:tc>
          <w:tcPr/>
          <w:p>
            <w:pPr>
              <w:pStyle w:val="Compact"/>
            </w:pPr>
            <w:r>
              <w:t xml:space="preserve">공급자 시정조치 요구서 — 공급자 부적합 발생 시 원인 분석 및 시정조치를 요구하는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OCM/OEM</w:t>
            </w:r>
          </w:p>
        </w:tc>
        <w:tc>
          <w:tcPr/>
          <w:p>
            <w:pPr>
              <w:pStyle w:val="Compact"/>
            </w:pPr>
            <w:r>
              <w:t xml:space="preserve">Original Component Manufacturer / Original Equipment Manufacturer — 부품/장비의 원래 제조사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공인 유통업체 (Authorized Distributor)</w:t>
            </w:r>
          </w:p>
        </w:tc>
        <w:tc>
          <w:tcPr/>
          <w:p>
            <w:pPr>
              <w:pStyle w:val="Compact"/>
            </w:pPr>
            <w:r>
              <w:t xml:space="preserve">OCM/OEM이 공식 인가한 유통 판매업체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87"/>
        <w:gridCol w:w="4132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직위/부서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책임과 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이사 (Director / Choi Byoung Youn)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신규 공급자 ASL 등재 최종 승인 (G-Ware 시스템 등록 승인)</w:t>
            </w:r>
            <w:r>
              <w:t xml:space="preserve">• 공급자 관련 주요 계약/거래 최종 승인</w:t>
            </w:r>
            <w:r>
              <w:t xml:space="preserve">• 공급자 유지/제거 최종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품질책임자(QMR)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ASL 품질 기준 수립 및 공급자 심사 총괄</w:t>
            </w:r>
            <w:r>
              <w:t xml:space="preserve">• 공급자 관련 중대 품질 이슈 의사결정</w:t>
            </w:r>
            <w:r>
              <w:t xml:space="preserve">• 위조부품 발견 시 처분 승인</w:t>
            </w:r>
            <w:r>
              <w:t xml:space="preserve">• 고객/규제기관 접근권 관련 협조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 관리자 (Purchasing Manager / Đặng Hoàng Hoa)</w:t>
            </w:r>
          </w:p>
        </w:tc>
        <w:tc>
          <w:tcPr/>
          <w:p>
            <w:pPr>
              <w:pStyle w:val="Compact"/>
            </w:pPr>
            <w:r>
              <w:t xml:space="preserve">• ASL(PUR.04.05.03) 관리 및 운영 총괄</w:t>
            </w:r>
            <w:r>
              <w:t xml:space="preserve">• 공급자 선정/초기 평가 주관 (Q.C.D 기준: 품질·비용·납기)</w:t>
            </w:r>
            <w:r>
              <w:t xml:space="preserve">• 구매 발주 시 ASL 등재 공급자 확인</w:t>
            </w:r>
            <w:r>
              <w:t xml:space="preserve">• 공급자 납기(OTD) 및 월별 평가 결과 검토</w:t>
            </w:r>
            <w:r>
              <w:t xml:space="preserve">• 공급자 유지/제거 검토 보고서 작성 및 이사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 담당자 (Bùi Khánh Ly 외)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공급자 정보 수집 (카탈로그, 웹사이트, 거래처 소개, 공급자 자체 제출 문서)</w:t>
            </w:r>
            <w:r>
              <w:t xml:space="preserve">• 공급자 정보 확인서 (PUR.04.00.05) 수집 및 G-Ware 시스템 신규 등록</w:t>
            </w:r>
            <w:r>
              <w:t xml:space="preserve">• 발주서(PO-PUR.04.00.01 국내 / PUR.04.00.02 해외)에 품질 요구사항 명기</w:t>
            </w:r>
            <w:r>
              <w:t xml:space="preserve">• 공급자 월별 평가 기록 유지 (PUR.04.02.04)</w:t>
            </w:r>
            <w:r>
              <w:t xml:space="preserve">• C등급 공급자에게</w:t>
            </w:r>
            <w:r>
              <w:t xml:space="preserve"> </w:t>
            </w:r>
            <w:r>
              <w:t xml:space="preserve">“개선 요구 통보서 (Bảng thông báo yêu cầu cải tiến)”</w:t>
            </w:r>
            <w:r>
              <w:t xml:space="preserve"> </w:t>
            </w:r>
            <w:r>
              <w:t xml:space="preserve">발행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 (Bộ phận Chất lượng)</w:t>
            </w:r>
          </w:p>
        </w:tc>
        <w:tc>
          <w:tcPr/>
          <w:p>
            <w:pPr>
              <w:pStyle w:val="Compact"/>
            </w:pPr>
            <w:r>
              <w:t xml:space="preserve">• 공급자 현장 품질심사 (QPA - PUR.04.00.07 Vendor Qualification Checksheet) 수행</w:t>
            </w:r>
            <w:r>
              <w:t xml:space="preserve">• 수입검사 (IQC) 실시 및 데이터 제공</w:t>
            </w:r>
            <w:r>
              <w:t xml:space="preserve">• 공급자 부적합 발생 시 SCAR 발행</w:t>
            </w:r>
            <w:r>
              <w:t xml:space="preserve">• C등급 공급자 개선 효과성 확인 후 최종 평가 결과를 구매팀에 통보</w:t>
            </w:r>
            <w:r>
              <w:t xml:space="preserve">• 위조부품 의심 시 격리 및 조사 주관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창고/자재부 (Bộ phận Kho NVL)</w:t>
            </w:r>
          </w:p>
        </w:tc>
        <w:tc>
          <w:tcPr/>
          <w:p>
            <w:pPr>
              <w:pStyle w:val="Compact"/>
            </w:pPr>
            <w:r>
              <w:t xml:space="preserve">• 입고 수량 및 외관 초도 확인 (IQC 전 단계)</w:t>
            </w:r>
            <w:r>
              <w:t xml:space="preserve">• 부적합 수입품 격리 및 구매팀 통보</w:t>
            </w:r>
            <w:r>
              <w:t xml:space="preserve">• 입고 기록 관리 (PUR.02.01.02 &amp; PUR.02.01.03)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개발팀 (R&amp;D)</w:t>
            </w:r>
          </w:p>
        </w:tc>
        <w:tc>
          <w:tcPr/>
          <w:p>
            <w:pPr>
              <w:pStyle w:val="Compact"/>
            </w:pPr>
            <w:r>
              <w:t xml:space="preserve">• 신규 부품/재료 공급자 기술 평가 참여</w:t>
            </w:r>
            <w:r>
              <w:t xml:space="preserve">• 기술 사양서/도면의 공급자 전달 확인</w:t>
            </w:r>
            <w:r>
              <w:t xml:space="preserve">• 특수공정 요건 정의 지원</w:t>
            </w:r>
          </w:p>
        </w:tc>
      </w:tr>
    </w:tbl>
    <w:bookmarkEnd w:id="18"/>
    <w:bookmarkStart w:id="22" w:name="외부공급자-분류-체계"/>
    <w:p>
      <w:pPr>
        <w:pStyle w:val="Heading1"/>
      </w:pPr>
      <w:r>
        <w:t xml:space="preserve">6. 외부공급자 분류 체계</w:t>
      </w:r>
    </w:p>
    <w:bookmarkStart w:id="19" w:name="공급자-유형-분류"/>
    <w:p>
      <w:pPr>
        <w:pStyle w:val="Heading2"/>
      </w:pPr>
      <w:r>
        <w:t xml:space="preserve">6.1 공급자 유형 분류</w:t>
      </w:r>
    </w:p>
    <w:p>
      <w:pPr>
        <w:pStyle w:val="FirstParagraph"/>
      </w:pPr>
      <w:r>
        <w:t xml:space="preserve">M&amp;C Electronics VINA는 기존 구매/공급자 관리 절차(PUR.02.00.01)에서 공급자를 아래와 같이 분류하여 관리하였으며, AS9100D 적용 시 이를 확장한다.</w:t>
      </w:r>
    </w:p>
    <w:p>
      <w:pPr>
        <w:pStyle w:val="BodyText"/>
      </w:pPr>
      <w:r>
        <w:rPr>
          <w:b/>
          <w:bCs/>
        </w:rPr>
        <w:t xml:space="preserve">기존 M&amp;C 공급자 분류 (PUR.02.00.01 기준)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고객 지정 공급자 (Nhà cung cấp chỉ định / NCCCĐ)</w:t>
      </w:r>
      <w:r>
        <w:t xml:space="preserve">: 고객이 품질 만족도를 확인하고 지정한 공급자. 정기 평가 없이 거래 유지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주요 원자재 공급자 (Nhà cung cấp NL chính)</w:t>
      </w:r>
      <w:r>
        <w:t xml:space="preserve">: M&amp;C가 자체 선택한 핵심 원자재 공급자. 연간 정기 평가 및 현장 QPA 심사 적용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부원자재 공급자 (Nhà cung cấp PL)</w:t>
      </w:r>
      <w:r>
        <w:t xml:space="preserve">: 주요 재료 이외 소모성/보조 재료 공급자. 월별 추적 평가 적용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신규 공급자 (Nhà cung cấp mới)</w:t>
      </w:r>
      <w:r>
        <w:t xml:space="preserve">: G-Ware 시스템에 신규 등록 후 초기 평가(Q.C.D 기준) 통과 시 ASL 등재</w:t>
      </w:r>
    </w:p>
    <w:p>
      <w:pPr>
        <w:pStyle w:val="BodyText"/>
      </w:pPr>
      <w:r>
        <w:t xml:space="preserve">AS9100D 항공우주 요건에 따라 위 분류를 아래와 같이 확장하여 적용한다.</w:t>
      </w:r>
    </w:p>
    <w:p>
      <w:pPr>
        <w:pStyle w:val="BodyText"/>
      </w:pPr>
      <w:r>
        <w:t xml:space="preserve">외부공급자를 아래 유형으로 분류하고, 유형별 관리 수준을 차등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88"/>
        <w:gridCol w:w="1188"/>
        <w:gridCol w:w="1188"/>
        <w:gridCol w:w="2376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공급자</w:t>
            </w:r>
          </w:p>
        </w:tc>
        <w:tc>
          <w:tcPr/>
          <w:p>
            <w:pPr>
              <w:pStyle w:val="Compact"/>
            </w:pPr>
            <w:r>
              <w:t xml:space="preserve">SUP-RM</w:t>
            </w:r>
          </w:p>
        </w:tc>
        <w:tc>
          <w:tcPr/>
          <w:p>
            <w:pPr>
              <w:pStyle w:val="Compact"/>
            </w:pPr>
            <w:r>
              <w:t xml:space="preserve">금속, 수지, 화학약품 등 원부자재 공급</w:t>
            </w:r>
          </w:p>
        </w:tc>
        <w:tc>
          <w:tcPr/>
          <w:p>
            <w:pPr>
              <w:pStyle w:val="Compact"/>
            </w:pPr>
            <w:r>
              <w:t xml:space="preserve">높음 (High)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부품/구성품 공급자</w:t>
            </w:r>
          </w:p>
        </w:tc>
        <w:tc>
          <w:tcPr/>
          <w:p>
            <w:pPr>
              <w:pStyle w:val="Compact"/>
            </w:pPr>
            <w:r>
              <w:t xml:space="preserve">SUP-CP</w:t>
            </w:r>
          </w:p>
        </w:tc>
        <w:tc>
          <w:tcPr/>
          <w:p>
            <w:pPr>
              <w:pStyle w:val="Compact"/>
            </w:pPr>
            <w:r>
              <w:t xml:space="preserve">전자부품, 기계부품, 표준품 등</w:t>
            </w:r>
          </w:p>
        </w:tc>
        <w:tc>
          <w:tcPr/>
          <w:p>
            <w:pPr>
              <w:pStyle w:val="Compact"/>
            </w:pPr>
            <w:r>
              <w:t xml:space="preserve">높음 (High)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외주가공 공급자</w:t>
            </w:r>
          </w:p>
        </w:tc>
        <w:tc>
          <w:tcPr/>
          <w:p>
            <w:pPr>
              <w:pStyle w:val="Compact"/>
            </w:pPr>
            <w:r>
              <w:t xml:space="preserve">SUP-OS</w:t>
            </w:r>
          </w:p>
        </w:tc>
        <w:tc>
          <w:tcPr/>
          <w:p>
            <w:pPr>
              <w:pStyle w:val="Compact"/>
            </w:pPr>
            <w:r>
              <w:t xml:space="preserve">CNC, 판금, 사출, 조립 등 일반 가공</w:t>
            </w:r>
          </w:p>
        </w:tc>
        <w:tc>
          <w:tcPr/>
          <w:p>
            <w:pPr>
              <w:pStyle w:val="Compact"/>
            </w:pPr>
            <w:r>
              <w:t xml:space="preserve">중간 (Medium)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공급자</w:t>
            </w:r>
          </w:p>
        </w:tc>
        <w:tc>
          <w:tcPr/>
          <w:p>
            <w:pPr>
              <w:pStyle w:val="Compact"/>
            </w:pPr>
            <w:r>
              <w:t xml:space="preserve">SUP-SP</w:t>
            </w:r>
          </w:p>
        </w:tc>
        <w:tc>
          <w:tcPr/>
          <w:p>
            <w:pPr>
              <w:pStyle w:val="Compact"/>
            </w:pPr>
            <w:r>
              <w:t xml:space="preserve">도금, 열처리, NDT, 용접, 도장 등</w:t>
            </w:r>
          </w:p>
        </w:tc>
        <w:tc>
          <w:tcPr/>
          <w:p>
            <w:pPr>
              <w:pStyle w:val="Compact"/>
            </w:pPr>
            <w:r>
              <w:t xml:space="preserve">매우 높음 (Critical)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공급자</w:t>
            </w:r>
          </w:p>
        </w:tc>
        <w:tc>
          <w:tcPr/>
          <w:p>
            <w:pPr>
              <w:pStyle w:val="Compact"/>
            </w:pPr>
            <w:r>
              <w:t xml:space="preserve">SUP-SV</w:t>
            </w:r>
          </w:p>
        </w:tc>
        <w:tc>
          <w:tcPr/>
          <w:p>
            <w:pPr>
              <w:pStyle w:val="Compact"/>
            </w:pPr>
            <w:r>
              <w:t xml:space="preserve">교정, 교육, 시험, 물류 등</w:t>
            </w:r>
          </w:p>
        </w:tc>
        <w:tc>
          <w:tcPr/>
          <w:p>
            <w:pPr>
              <w:pStyle w:val="Compact"/>
            </w:pPr>
            <w:r>
              <w:t xml:space="preserve">낮음~중간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유통업체/대리점</w:t>
            </w:r>
          </w:p>
        </w:tc>
        <w:tc>
          <w:tcPr/>
          <w:p>
            <w:pPr>
              <w:pStyle w:val="Compact"/>
            </w:pPr>
            <w:r>
              <w:t xml:space="preserve">SUP-DT</w:t>
            </w:r>
          </w:p>
        </w:tc>
        <w:tc>
          <w:tcPr/>
          <w:p>
            <w:pPr>
              <w:pStyle w:val="Compact"/>
            </w:pPr>
            <w:r>
              <w:t xml:space="preserve">전자부품 유통업체, 원자재 대리점</w:t>
            </w:r>
          </w:p>
        </w:tc>
        <w:tc>
          <w:tcPr/>
          <w:p>
            <w:pPr>
              <w:pStyle w:val="Compact"/>
            </w:pPr>
            <w:r>
              <w:t xml:space="preserve">높음 (High)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A</w:t>
            </w:r>
          </w:p>
        </w:tc>
      </w:tr>
    </w:tbl>
    <w:bookmarkEnd w:id="19"/>
    <w:bookmarkStart w:id="20" w:name="관리-수준-정의"/>
    <w:p>
      <w:pPr>
        <w:pStyle w:val="Heading2"/>
      </w:pPr>
      <w:r>
        <w:t xml:space="preserve">6.2 관리 수준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61"/>
        <w:gridCol w:w="1237"/>
        <w:gridCol w:w="1113"/>
        <w:gridCol w:w="1485"/>
        <w:gridCol w:w="1113"/>
        <w:gridCol w:w="160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초기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현장감사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정기 재평가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수입검사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위조부품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S</w:t>
            </w:r>
            <w:r>
              <w:t xml:space="preserve"> </w:t>
            </w:r>
            <w:r>
              <w:t xml:space="preserve">(특수공정)</w:t>
            </w:r>
          </w:p>
        </w:tc>
        <w:tc>
          <w:tcPr/>
          <w:p>
            <w:pPr>
              <w:pStyle w:val="Compact"/>
            </w:pPr>
            <w:r>
              <w:t xml:space="preserve">필수 (서류 + 현장)</w:t>
            </w:r>
          </w:p>
        </w:tc>
        <w:tc>
          <w:tcPr/>
          <w:p>
            <w:pPr>
              <w:pStyle w:val="Compact"/>
            </w:pPr>
            <w:r>
              <w:t xml:space="preserve">필수 (연 1회 이상)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100% 또는 공정 결과물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시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A</w:t>
            </w:r>
            <w:r>
              <w:t xml:space="preserve"> </w:t>
            </w:r>
            <w:r>
              <w:t xml:space="preserve">(고위험)</w:t>
            </w:r>
          </w:p>
        </w:tc>
        <w:tc>
          <w:tcPr/>
          <w:p>
            <w:pPr>
              <w:pStyle w:val="Compact"/>
            </w:pPr>
            <w:r>
              <w:t xml:space="preserve">필수 (서류 + 현장 권장)</w:t>
            </w:r>
          </w:p>
        </w:tc>
        <w:tc>
          <w:tcPr/>
          <w:p>
            <w:pPr>
              <w:pStyle w:val="Compact"/>
            </w:pPr>
            <w:r>
              <w:t xml:space="preserve">최초 + 리스크 기반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수입검사 계획에 따름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B</w:t>
            </w:r>
            <w:r>
              <w:t xml:space="preserve"> </w:t>
            </w:r>
            <w:r>
              <w:t xml:space="preserve">(중위험)</w:t>
            </w:r>
          </w:p>
        </w:tc>
        <w:tc>
          <w:tcPr/>
          <w:p>
            <w:pPr>
              <w:pStyle w:val="Compact"/>
            </w:pPr>
            <w:r>
              <w:t xml:space="preserve">필수 (서류)</w:t>
            </w:r>
          </w:p>
        </w:tc>
        <w:tc>
          <w:tcPr/>
          <w:p>
            <w:pPr>
              <w:pStyle w:val="Compact"/>
            </w:pPr>
            <w:r>
              <w:t xml:space="preserve">리스크 기반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수입검사 계획에 따름</w:t>
            </w:r>
          </w:p>
        </w:tc>
        <w:tc>
          <w:tcPr/>
          <w:p>
            <w:pPr>
              <w:pStyle w:val="Compact"/>
            </w:pPr>
            <w:r>
              <w:t xml:space="preserve">해당 시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C</w:t>
            </w:r>
            <w:r>
              <w:t xml:space="preserve"> </w:t>
            </w:r>
            <w:r>
              <w:t xml:space="preserve">(저위험)</w:t>
            </w:r>
          </w:p>
        </w:tc>
        <w:tc>
          <w:tcPr/>
          <w:p>
            <w:pPr>
              <w:pStyle w:val="Compact"/>
            </w:pPr>
            <w:r>
              <w:t xml:space="preserve">서류 간소화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/>
          <w:p>
            <w:pPr>
              <w:pStyle w:val="Compact"/>
            </w:pPr>
            <w:r>
              <w:t xml:space="preserve">2년 1회</w:t>
            </w:r>
          </w:p>
        </w:tc>
        <w:tc>
          <w:tcPr/>
          <w:p>
            <w:pPr>
              <w:pStyle w:val="Compact"/>
            </w:pPr>
            <w:r>
              <w:t xml:space="preserve">서비스 결과 확인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0"/>
    <w:bookmarkStart w:id="21" w:name="리스크-기반-분류-기준"/>
    <w:p>
      <w:pPr>
        <w:pStyle w:val="Heading2"/>
      </w:pPr>
      <w:r>
        <w:t xml:space="preserve">6.3 리스크 기반 분류 기준</w:t>
      </w:r>
    </w:p>
    <w:p>
      <w:pPr>
        <w:pStyle w:val="FirstParagraph"/>
      </w:pPr>
      <w:r>
        <w:t xml:space="preserve">공급자 유형별 기본 리스크 등급은 위 표를 따르되, 다음 요소를 고려하여 개별 공급자의 리스크 등급을 조정할 수 있다: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가중 요소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상향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하향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영향도</w:t>
            </w:r>
          </w:p>
        </w:tc>
        <w:tc>
          <w:tcPr/>
          <w:p>
            <w:pPr>
              <w:pStyle w:val="Compact"/>
            </w:pPr>
            <w:r>
              <w:t xml:space="preserve">비행안전(Flight Safety) 관련 부품/공정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비핵심 부자재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공급원 대체성</w:t>
            </w:r>
          </w:p>
        </w:tc>
        <w:tc>
          <w:tcPr/>
          <w:p>
            <w:pPr>
              <w:pStyle w:val="Compact"/>
            </w:pPr>
            <w:r>
              <w:t xml:space="preserve">단일 공급원(Sole Source)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다수 대체 공급원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과거 품질 이력</w:t>
            </w:r>
          </w:p>
        </w:tc>
        <w:tc>
          <w:tcPr/>
          <w:p>
            <w:pPr>
              <w:pStyle w:val="Compact"/>
            </w:pPr>
            <w:r>
              <w:t xml:space="preserve">중대 부적합 이력, 리콜 이력</w:t>
            </w:r>
          </w:p>
        </w:tc>
        <w:tc>
          <w:tcPr/>
          <w:p>
            <w:pPr>
              <w:pStyle w:val="Compact"/>
            </w:pPr>
            <w:r>
              <w:t xml:space="preserve">3년 이상 무결점 납품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보유 현황</w:t>
            </w:r>
          </w:p>
        </w:tc>
        <w:tc>
          <w:tcPr/>
          <w:p>
            <w:pPr>
              <w:pStyle w:val="Compact"/>
            </w:pPr>
            <w:r>
              <w:t xml:space="preserve">품질인증 미보유</w:t>
            </w:r>
          </w:p>
        </w:tc>
        <w:tc>
          <w:tcPr/>
          <w:p>
            <w:pPr>
              <w:pStyle w:val="Compact"/>
            </w:pPr>
            <w:r>
              <w:t xml:space="preserve">AS9100D / NADCAP 인증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규모</w:t>
            </w:r>
          </w:p>
        </w:tc>
        <w:tc>
          <w:tcPr/>
          <w:p>
            <w:pPr>
              <w:pStyle w:val="Compact"/>
            </w:pPr>
            <w:r>
              <w:t xml:space="preserve">연간 구매액 상위 20%</w:t>
            </w:r>
          </w:p>
        </w:tc>
        <w:tc>
          <w:tcPr/>
          <w:p>
            <w:pPr>
              <w:pStyle w:val="Compact"/>
            </w:pPr>
            <w:r>
              <w:t xml:space="preserve">소량 단발성 거래</w:t>
            </w:r>
          </w:p>
        </w:tc>
      </w:tr>
    </w:tbl>
    <w:bookmarkEnd w:id="21"/>
    <w:bookmarkEnd w:id="22"/>
    <w:bookmarkStart w:id="28" w:name="공급자-선정-및-초기-평가-절차"/>
    <w:p>
      <w:pPr>
        <w:pStyle w:val="Heading1"/>
      </w:pPr>
      <w:r>
        <w:t xml:space="preserve">7. 공급자 선정 및 초기 평가 절차</w:t>
      </w:r>
    </w:p>
    <w:bookmarkStart w:id="23" w:name="초기-평가-프로세스-흐름"/>
    <w:p>
      <w:pPr>
        <w:pStyle w:val="Heading2"/>
      </w:pPr>
      <w:r>
        <w:t xml:space="preserve">7.1 초기 평가 프로세스 흐름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신규 공급자 필요 발생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[1] 공급자 후보 탐색 및 정보 수집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[2] 서류 평가 (자격 심사)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[3] 현장감사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[4] 샘플 평가 / 시험 발주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[5] 초기 평가 종합 점수 산정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[6] ASL 등재 승인/반려</w:t>
            </w:r>
          </w:p>
        </w:tc>
      </w:tr>
    </w:tbl>
    <w:bookmarkEnd w:id="23"/>
    <w:bookmarkStart w:id="24" w:name="서류-평가-자격-심사"/>
    <w:p>
      <w:pPr>
        <w:pStyle w:val="Heading2"/>
      </w:pPr>
      <w:r>
        <w:t xml:space="preserve">7.2 서류 평가 (자격 심사)</w:t>
      </w:r>
    </w:p>
    <w:p>
      <w:pPr>
        <w:pStyle w:val="FirstParagraph"/>
      </w:pPr>
      <w:r>
        <w:t xml:space="preserve">모든 신규 외부공급자에 대해 아래 서류 평가를 실시한다.</w:t>
      </w:r>
    </w:p>
    <w:p>
      <w:pPr>
        <w:pStyle w:val="BodyText"/>
      </w:pPr>
      <w:r>
        <w:rPr>
          <w:b/>
          <w:bCs/>
        </w:rPr>
        <w:t xml:space="preserve">평가 항목 및 배점</w:t>
      </w:r>
      <w:r>
        <w:t xml:space="preserve"> </w:t>
      </w:r>
      <w:r>
        <w:t xml:space="preserve">(총 100점):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 인증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AS9100D: 20점 / ISO 9001: 15점 / 기타: 10점 / 미보유: 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인증 (해당 시)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NADCAP: 15점 / 고객 승인: 10점 / 자체 인증: 5점 / 미보유: 0점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안정성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재무 건전성, 사업 연속성, 보험 가입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역량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설비 보유 현황, 기술 인력, 생산 능력, 기술 자료 적절성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관리 역량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검사 장비, 교정 관리, 부적합품 관리, 추적성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관리 역량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생산계획 수립 체계, 리드타임, 납기 이행 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방지 체계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위조부품 방지 절차, OCM/공인유통 조달 체계, AS6174/AS6081 준거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환경/안전/법규 준수</w:t>
            </w:r>
          </w:p>
        </w:tc>
        <w:tc>
          <w:tcPr/>
          <w:p>
            <w:pPr>
              <w:pStyle w:val="Compact"/>
            </w:pPr>
            <w:r>
              <w:t xml:space="preserve">5점</w:t>
            </w:r>
          </w:p>
        </w:tc>
        <w:tc>
          <w:tcPr/>
          <w:p>
            <w:pPr>
              <w:pStyle w:val="Compact"/>
            </w:pPr>
            <w:r>
              <w:t xml:space="preserve">환경 인증, 안전 관리, REACH/RoHS 등 법규 준수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서류 평가 시 필수 제출 서류</w:t>
      </w:r>
      <w:r>
        <w:t xml:space="preserve">:</w:t>
      </w:r>
      <w:r>
        <w:t xml:space="preserve"> </w:t>
      </w:r>
      <w:r>
        <w:t xml:space="preserve">- 품질경영시스템 인증서 사본 (AS9100D, ISO 9001 등)</w:t>
      </w:r>
      <w:r>
        <w:t xml:space="preserve"> </w:t>
      </w:r>
      <w:r>
        <w:t xml:space="preserve">- NADCAP 인증서 사본 (특수공정 공급자)</w:t>
      </w:r>
      <w:r>
        <w:t xml:space="preserve"> </w:t>
      </w:r>
      <w:r>
        <w:t xml:space="preserve">- 회사 소개서 (조직도, 주요 설비 목록, 주요 거래처)</w:t>
      </w:r>
      <w:r>
        <w:t xml:space="preserve"> </w:t>
      </w:r>
      <w:r>
        <w:t xml:space="preserve">- 최근 3년 재무제표 또는 사업자 등록 증명</w:t>
      </w:r>
      <w:r>
        <w:t xml:space="preserve"> </w:t>
      </w:r>
      <w:r>
        <w:t xml:space="preserve">- 품질 관리 실적 (불량률, 고객 클레임 이력)</w:t>
      </w:r>
      <w:r>
        <w:t xml:space="preserve"> </w:t>
      </w:r>
      <w:r>
        <w:t xml:space="preserve">- 위조부품 방지 절차서 (전자부품/원자재 공급자)</w:t>
      </w:r>
      <w:r>
        <w:t xml:space="preserve"> </w:t>
      </w:r>
      <w:r>
        <w:t xml:space="preserve">- OASIS 등록 현황 확인 (해당 시)</w:t>
      </w:r>
    </w:p>
    <w:bookmarkEnd w:id="24"/>
    <w:bookmarkStart w:id="25" w:name="현장감사-기준"/>
    <w:p>
      <w:pPr>
        <w:pStyle w:val="Heading2"/>
      </w:pPr>
      <w:r>
        <w:t xml:space="preserve">7.3 현장감사 기준</w:t>
      </w:r>
    </w:p>
    <w:p>
      <w:pPr>
        <w:pStyle w:val="FirstParagraph"/>
      </w:pPr>
      <w:r>
        <w:t xml:space="preserve">다음 조건에 해당하는 공급자는 ASL 등재 전 현장감사를 필수 실시한다.</w:t>
      </w:r>
    </w:p>
    <w:p>
      <w:pPr>
        <w:pStyle w:val="BodyText"/>
      </w:pPr>
      <w:r>
        <w:rPr>
          <w:b/>
          <w:bCs/>
        </w:rPr>
        <w:t xml:space="preserve">현장감사 필수 대상</w:t>
      </w:r>
      <w:r>
        <w:t xml:space="preserve">:</w:t>
      </w:r>
      <w:r>
        <w:t xml:space="preserve"> </w:t>
      </w:r>
      <w:r>
        <w:t xml:space="preserve">- Level S (특수공정 공급자) — 전 공급자</w:t>
      </w:r>
      <w:r>
        <w:t xml:space="preserve"> </w:t>
      </w:r>
      <w:r>
        <w:t xml:space="preserve">- Level A 중 비행안전(Flight Safety) 관련 부품 공급자</w:t>
      </w:r>
      <w:r>
        <w:t xml:space="preserve"> </w:t>
      </w:r>
      <w:r>
        <w:t xml:space="preserve">- Level A 중 단일 공급원(Sole Source) 공급자</w:t>
      </w:r>
      <w:r>
        <w:t xml:space="preserve"> </w:t>
      </w:r>
      <w:r>
        <w:t xml:space="preserve">- 서류 평가 점수 60~69점 범위의 조건부 승인 후보</w:t>
      </w:r>
      <w:r>
        <w:t xml:space="preserve"> </w:t>
      </w:r>
      <w:r>
        <w:t xml:space="preserve">- 품질경영시스템 인증 미보유 공급자</w:t>
      </w:r>
      <w:r>
        <w:t xml:space="preserve"> </w:t>
      </w:r>
      <w:r>
        <w:t xml:space="preserve">- 고객이 현장감사를 요구한 공급자</w:t>
      </w:r>
    </w:p>
    <w:p>
      <w:pPr>
        <w:pStyle w:val="BodyText"/>
      </w:pPr>
      <w:r>
        <w:rPr>
          <w:b/>
          <w:bCs/>
        </w:rPr>
        <w:t xml:space="preserve">현장감사 항목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276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영역</w:t>
            </w:r>
          </w:p>
        </w:tc>
        <w:tc>
          <w:tcPr>
            <w:tcW w:w="602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확인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</w:t>
            </w:r>
          </w:p>
        </w:tc>
        <w:tc>
          <w:tcPr>
            <w:tcW w:w="60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운영 실태, 문서 관리, 내부심사 실시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공정</w:t>
            </w:r>
          </w:p>
        </w:tc>
        <w:tc>
          <w:tcPr>
            <w:tcW w:w="60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관리, 작업 지시서 운용, 공정 능력(Cpk)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검사/시험</w:t>
            </w:r>
          </w:p>
        </w:tc>
        <w:tc>
          <w:tcPr/>
          <w:p>
            <w:pPr>
              <w:pStyle w:val="Compact"/>
            </w:pPr>
            <w:r>
              <w:t xml:space="preserve">검사 장비, 교정 관리, 검사 기준서, 기록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관리</w:t>
            </w:r>
          </w:p>
        </w:tc>
        <w:tc>
          <w:tcPr>
            <w:tcW w:w="602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입고 검사, 보관 환경, 선입선출(FIFO), 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(해당 시)</w:t>
            </w:r>
          </w:p>
        </w:tc>
        <w:tc>
          <w:tcPr/>
          <w:p>
            <w:pPr>
              <w:pStyle w:val="Compact"/>
            </w:pPr>
            <w:r>
              <w:t xml:space="preserve">공정 인정, 작업자 자격, 공정 파라미터 관리,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부적합품 관리</w:t>
            </w:r>
          </w:p>
        </w:tc>
        <w:tc>
          <w:tcPr/>
          <w:p>
            <w:pPr>
              <w:pStyle w:val="Compact"/>
            </w:pPr>
            <w:r>
              <w:t xml:space="preserve">격리/표시/처분, 시정조치 절차, 재발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방지</w:t>
            </w:r>
          </w:p>
        </w:tc>
        <w:tc>
          <w:tcPr/>
          <w:p>
            <w:pPr>
              <w:pStyle w:val="Compact"/>
            </w:pPr>
            <w:r>
              <w:t xml:space="preserve">조달 경로 관리, 입고 검증, 의심부품 처리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포장/출하</w:t>
            </w:r>
          </w:p>
        </w:tc>
        <w:tc>
          <w:tcPr/>
          <w:p>
            <w:pPr>
              <w:pStyle w:val="Compact"/>
            </w:pPr>
            <w:r>
              <w:t xml:space="preserve">포장 기준, 라벨링, 출하 검사, 운송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현장감사 결과 판정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 (Pass)</w:t>
            </w:r>
          </w:p>
        </w:tc>
        <w:tc>
          <w:tcPr/>
          <w:p>
            <w:pPr>
              <w:pStyle w:val="Compact"/>
            </w:pPr>
            <w:r>
              <w:t xml:space="preserve">중대 부적합 0건, 경미 부적합 3건 이하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등재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적합 (Conditional)</w:t>
            </w:r>
          </w:p>
        </w:tc>
        <w:tc>
          <w:tcPr/>
          <w:p>
            <w:pPr>
              <w:pStyle w:val="Compact"/>
            </w:pPr>
            <w:r>
              <w:t xml:space="preserve">중대 부적합 0건, 경미 부적합 4건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완료 후 서면 확인 후 등재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(Fail)</w:t>
            </w:r>
          </w:p>
        </w:tc>
        <w:tc>
          <w:tcPr/>
          <w:p>
            <w:pPr>
              <w:pStyle w:val="Compact"/>
            </w:pPr>
            <w:r>
              <w:t xml:space="preserve">중대 부적합 1건 이상</w:t>
            </w:r>
          </w:p>
        </w:tc>
        <w:tc>
          <w:tcPr/>
          <w:p>
            <w:pPr>
              <w:pStyle w:val="Compact"/>
            </w:pPr>
            <w:r>
              <w:t xml:space="preserve">ASL 등재 불가, 시정 후 재감사</w:t>
            </w:r>
          </w:p>
        </w:tc>
      </w:tr>
    </w:tbl>
    <w:bookmarkEnd w:id="25"/>
    <w:bookmarkStart w:id="26" w:name="샘플-평가-시험-발주"/>
    <w:p>
      <w:pPr>
        <w:pStyle w:val="Heading2"/>
      </w:pPr>
      <w:r>
        <w:t xml:space="preserve">7.4 샘플 평가 / 시험 발주</w:t>
      </w:r>
    </w:p>
    <w:p>
      <w:pPr>
        <w:pStyle w:val="Compact"/>
        <w:numPr>
          <w:ilvl w:val="0"/>
          <w:numId w:val="1002"/>
        </w:numPr>
      </w:pPr>
      <w:r>
        <w:t xml:space="preserve">서류 평가 및 현장감사(해당 시) 통과 후, 구매팀은 시험 발주(Trial Order)를 실시할 수 있다.</w:t>
      </w:r>
    </w:p>
    <w:p>
      <w:pPr>
        <w:pStyle w:val="Compact"/>
        <w:numPr>
          <w:ilvl w:val="0"/>
          <w:numId w:val="1002"/>
        </w:numPr>
      </w:pPr>
      <w:r>
        <w:t xml:space="preserve">시험 발주 납품물에 대해 수입검사를 실시하고, 결과를 초기 평가에 반영한다.</w:t>
      </w:r>
    </w:p>
    <w:p>
      <w:pPr>
        <w:pStyle w:val="Compact"/>
        <w:numPr>
          <w:ilvl w:val="0"/>
          <w:numId w:val="1002"/>
        </w:numPr>
      </w:pPr>
      <w:r>
        <w:t xml:space="preserve">특수공정 공급자의 경우, 시험편(Test Specimen) 또는 실제 부품에 대한 공정 결과물 검증을 실시한다.</w:t>
      </w:r>
    </w:p>
    <w:bookmarkEnd w:id="26"/>
    <w:bookmarkStart w:id="27" w:name="초기-평가-종합-판정"/>
    <w:p>
      <w:pPr>
        <w:pStyle w:val="Heading2"/>
      </w:pPr>
      <w:r>
        <w:t xml:space="preserve">7.5 초기 평가 종합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종합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80점 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(Approved)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등재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60~79점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 승인 (Conditional)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계획 제출 후 등재, 6개월 내 재평가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60점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반려 (Rejected)</w:t>
            </w:r>
          </w:p>
        </w:tc>
        <w:tc>
          <w:tcPr/>
          <w:p>
            <w:pPr>
              <w:pStyle w:val="Compact"/>
            </w:pPr>
            <w:r>
              <w:t xml:space="preserve">ASL 등재 불가, 사유 통보</w:t>
            </w:r>
          </w:p>
        </w:tc>
      </w:tr>
    </w:tbl>
    <w:bookmarkEnd w:id="27"/>
    <w:bookmarkEnd w:id="28"/>
    <w:bookmarkStart w:id="33" w:name="공급자-승인-및-asl-등재-프로세스"/>
    <w:p>
      <w:pPr>
        <w:pStyle w:val="Heading1"/>
      </w:pPr>
      <w:r>
        <w:t xml:space="preserve">8. 공급자 승인 및 ASL 등재 프로세스</w:t>
      </w:r>
    </w:p>
    <w:bookmarkStart w:id="29" w:name="asl-등재-절차"/>
    <w:p>
      <w:pPr>
        <w:pStyle w:val="Heading2"/>
      </w:pPr>
      <w:r>
        <w:t xml:space="preserve">8.1 ASL 등재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초기 평가 완료 (승인/조건부 승인)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[1] 구매팀 담당자: ASL 등재 신청서 작성 (QF-808-01)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[2] 품질팀장: 품질 평가 결과 확인 서명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[3] 구매팀장: ASL 등재 검토 및 추천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[4] QMR: ASL 등재 최종 승인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[5] ASL 데이터베이스 등록 (QF-808-02)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[6] 공급자에 품질 요구사항 통보 (QF-808-04)</w:t>
            </w:r>
          </w:p>
        </w:tc>
      </w:tr>
    </w:tbl>
    <w:bookmarkEnd w:id="29"/>
    <w:bookmarkStart w:id="30" w:name="asl-등재-정보"/>
    <w:p>
      <w:pPr>
        <w:pStyle w:val="Heading2"/>
      </w:pPr>
      <w:r>
        <w:t xml:space="preserve">8.2 ASL 등재 정보</w:t>
      </w:r>
    </w:p>
    <w:p>
      <w:pPr>
        <w:pStyle w:val="FirstParagraph"/>
      </w:pPr>
      <w:r>
        <w:t xml:space="preserve">ASL(QF-808-02)에는 다음 정보를 기록하고 유지한다.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코드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사내 관리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공급자명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정식 법인명 (영문/현지어)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 유형</w:t>
            </w:r>
          </w:p>
        </w:tc>
        <w:tc>
          <w:tcPr/>
          <w:p>
            <w:pPr>
              <w:pStyle w:val="Compact"/>
            </w:pPr>
            <w:r>
              <w:t xml:space="preserve">SUP-RM / SUP-CP / SUP-OS / SUP-SP / SUP-SV / SUP-DT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수준</w:t>
            </w:r>
          </w:p>
        </w:tc>
        <w:tc>
          <w:tcPr>
            <w:tcW w:w="60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Level S / A / B /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 품목/공정</w:t>
            </w:r>
          </w:p>
        </w:tc>
        <w:tc>
          <w:tcPr/>
          <w:p>
            <w:pPr>
              <w:pStyle w:val="Compact"/>
            </w:pPr>
            <w:r>
              <w:t xml:space="preserve">승인된 공급 범위 (품목, 재질, 공정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현황</w:t>
            </w:r>
          </w:p>
        </w:tc>
        <w:tc>
          <w:tcPr/>
          <w:p>
            <w:pPr>
              <w:pStyle w:val="Compact"/>
            </w:pPr>
            <w:r>
              <w:t xml:space="preserve">AS9100D / ISO 9001 / NADCAP 등 인증 번호 및 유효기간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OASIS 등록 여부</w:t>
            </w:r>
          </w:p>
        </w:tc>
        <w:tc>
          <w:tcPr/>
          <w:p>
            <w:pPr>
              <w:pStyle w:val="Compact"/>
            </w:pPr>
            <w:r>
              <w:t xml:space="preserve">등록 번호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평가 점수</w:t>
            </w:r>
          </w:p>
        </w:tc>
        <w:tc>
          <w:tcPr/>
          <w:p>
            <w:pPr>
              <w:pStyle w:val="Compact"/>
            </w:pPr>
            <w:r>
              <w:t xml:space="preserve">서류 + 현장감사 + 샘플 종합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일자</w:t>
            </w:r>
          </w:p>
        </w:tc>
        <w:tc>
          <w:tcPr/>
          <w:p>
            <w:pPr>
              <w:pStyle w:val="Compact"/>
            </w:pPr>
            <w:r>
              <w:t xml:space="preserve">ASL 등재 승인일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</w:t>
            </w:r>
          </w:p>
        </w:tc>
        <w:tc>
          <w:tcPr/>
          <w:p>
            <w:pPr>
              <w:pStyle w:val="Compact"/>
            </w:pPr>
            <w:r>
              <w:t xml:space="preserve">Approved / Conditional / Suspended /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재평가 예정일</w:t>
            </w:r>
          </w:p>
        </w:tc>
        <w:tc>
          <w:tcPr/>
          <w:p>
            <w:pPr>
              <w:pStyle w:val="Compact"/>
            </w:pPr>
            <w:r>
              <w:t xml:space="preserve">정기 재평가 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여부</w:t>
            </w:r>
          </w:p>
        </w:tc>
        <w:tc>
          <w:tcPr/>
          <w:p>
            <w:pPr>
              <w:pStyle w:val="Compact"/>
            </w:pPr>
            <w:r>
              <w:t xml:space="preserve">고객 지정 공급자 해당 시 고객명/계약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특이사항, 제한 조건 등</w:t>
            </w:r>
          </w:p>
        </w:tc>
      </w:tr>
    </w:tbl>
    <w:bookmarkEnd w:id="30"/>
    <w:bookmarkStart w:id="31" w:name="asl-상태-관리"/>
    <w:p>
      <w:pPr>
        <w:pStyle w:val="Heading2"/>
      </w:pPr>
      <w:r>
        <w:t xml:space="preserve">8.3 ASL 상태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1760"/>
        <w:gridCol w:w="44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발주 가능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평가 통과, 정상 거래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조건부 승인, 개선 이행 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제한적 가능 (품질팀장 승인 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거래 정지 (중대 부적합, 인증 만료 등)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ASL 삭제 (거래 종료, 폐업 등)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</w:tbl>
    <w:bookmarkEnd w:id="31"/>
    <w:bookmarkStart w:id="32" w:name="비등재-공급자로부터의-구매-금지"/>
    <w:p>
      <w:pPr>
        <w:pStyle w:val="Heading2"/>
      </w:pPr>
      <w:r>
        <w:t xml:space="preserve">8.4 비등재 공급자로부터의 구매 금지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원칙</w:t>
      </w:r>
      <w:r>
        <w:t xml:space="preserve">: ASL에 등재되지 않은 공급자로부터의 구매는 금지한다.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예외</w:t>
      </w:r>
      <w:r>
        <w:t xml:space="preserve">: 긴급 상황(생산 라인 중단 위험 등)으로 비등재 공급자 사용이 불가피한 경우, QMR 사전 승인을 득한 후 발주하고, 해당 납품물에 대해 강화 수입검사를 실시한다. 발주 후 30일 이내에 해당 공급자에 대한 초기 평가를 실시한다.</w:t>
      </w:r>
    </w:p>
    <w:bookmarkEnd w:id="32"/>
    <w:bookmarkEnd w:id="33"/>
    <w:bookmarkStart w:id="40" w:name="공급자-모니터링-및-정기-재평가"/>
    <w:p>
      <w:pPr>
        <w:pStyle w:val="Heading1"/>
      </w:pPr>
      <w:r>
        <w:t xml:space="preserve">9. 공급자 모니터링 및 정기 재평가</w:t>
      </w:r>
    </w:p>
    <w:bookmarkStart w:id="34" w:name="공급자-성과-모니터링"/>
    <w:p>
      <w:pPr>
        <w:pStyle w:val="Heading2"/>
      </w:pPr>
      <w:r>
        <w:t xml:space="preserve">9.1 공급자 성과 모니터링</w:t>
      </w:r>
    </w:p>
    <w:p>
      <w:pPr>
        <w:pStyle w:val="FirstParagraph"/>
      </w:pPr>
      <w:r>
        <w:t xml:space="preserve">구매팀 및 품질팀은 ASL 등재 공급자의 성과를 지속적으로 모니터링한다.</w:t>
      </w:r>
    </w:p>
    <w:p>
      <w:pPr>
        <w:pStyle w:val="BodyText"/>
      </w:pPr>
      <w:r>
        <w:rPr>
          <w:b/>
          <w:bCs/>
        </w:rPr>
        <w:t xml:space="preserve">모니터링 지표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18"/>
        <w:gridCol w:w="2030"/>
        <w:gridCol w:w="203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 품질 (Q-Score)</w:t>
            </w:r>
          </w:p>
        </w:tc>
        <w:tc>
          <w:tcPr/>
          <w:p>
            <w:pPr>
              <w:pStyle w:val="Compact"/>
            </w:pPr>
            <w:r>
              <w:t xml:space="preserve">(적합 LOT 수 / 총 납품 LOT 수) × 100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 불량률 (PPM)</w:t>
            </w:r>
          </w:p>
        </w:tc>
        <w:tc>
          <w:tcPr/>
          <w:p>
            <w:pPr>
              <w:pStyle w:val="Compact"/>
            </w:pPr>
            <w:r>
              <w:t xml:space="preserve">(불량 수량 / 총 납품 수량) × 1,000,000</w:t>
            </w:r>
          </w:p>
        </w:tc>
        <w:tc>
          <w:tcPr/>
          <w:p>
            <w:pPr>
              <w:pStyle w:val="Compact"/>
            </w:pPr>
            <w:r>
              <w:t xml:space="preserve">≤ 500 PPM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정시 납품률 (OTD)</w:t>
            </w:r>
          </w:p>
        </w:tc>
        <w:tc>
          <w:tcPr/>
          <w:p>
            <w:pPr>
              <w:pStyle w:val="Compact"/>
            </w:pPr>
            <w:r>
              <w:t xml:space="preserve">(정시 납품 건수 / 총 납품 건수) × 100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 발행 건수</w:t>
            </w:r>
          </w:p>
        </w:tc>
        <w:tc>
          <w:tcPr/>
          <w:p>
            <w:pPr>
              <w:pStyle w:val="Compact"/>
            </w:pPr>
            <w:r>
              <w:t xml:space="preserve">분기별 SCAR 누적 건수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이행률</w:t>
            </w:r>
          </w:p>
        </w:tc>
        <w:tc>
          <w:tcPr/>
          <w:p>
            <w:pPr>
              <w:pStyle w:val="Compact"/>
            </w:pPr>
            <w:r>
              <w:t xml:space="preserve">(기한 내 완료 건수 / SCAR 총 건수)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</w:tbl>
    <w:bookmarkEnd w:id="34"/>
    <w:bookmarkStart w:id="39" w:name="정기-재평가"/>
    <w:p>
      <w:pPr>
        <w:pStyle w:val="Heading2"/>
      </w:pPr>
      <w:r>
        <w:t xml:space="preserve">9.2 정기 재평가</w:t>
      </w:r>
    </w:p>
    <w:bookmarkStart w:id="35" w:name="재평가-주기"/>
    <w:p>
      <w:pPr>
        <w:pStyle w:val="Heading3"/>
      </w:pPr>
      <w:r>
        <w:t xml:space="preserve">9.2.1 재평가 주기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89"/>
        <w:gridCol w:w="2715"/>
        <w:gridCol w:w="271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재평가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재평가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S</w:t>
            </w:r>
          </w:p>
        </w:tc>
        <w:tc>
          <w:tcPr/>
          <w:p>
            <w:pPr>
              <w:pStyle w:val="Compact"/>
            </w:pPr>
            <w:r>
              <w:t xml:space="preserve">연 1회 (매년 1Q)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서류 재평가 + 현장감사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A</w:t>
            </w:r>
          </w:p>
        </w:tc>
        <w:tc>
          <w:tcPr/>
          <w:p>
            <w:pPr>
              <w:pStyle w:val="Compact"/>
            </w:pPr>
            <w:r>
              <w:t xml:space="preserve">연 1회 (매년 1Q)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서류 재평가 + 성과 데이터 분석, 필요 시 현장감사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B</w:t>
            </w:r>
          </w:p>
        </w:tc>
        <w:tc>
          <w:tcPr/>
          <w:p>
            <w:pPr>
              <w:pStyle w:val="Compact"/>
            </w:pPr>
            <w:r>
              <w:t xml:space="preserve">연 1회 (매년 1Q)</w:t>
            </w:r>
          </w:p>
        </w:tc>
        <w:tc>
          <w:tcPr/>
          <w:p>
            <w:pPr>
              <w:pStyle w:val="Compact"/>
            </w:pPr>
            <w:r>
              <w:t xml:space="preserve">서류 재평가 + 성과 데이터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C</w:t>
            </w:r>
          </w:p>
        </w:tc>
        <w:tc>
          <w:tcPr/>
          <w:p>
            <w:pPr>
              <w:pStyle w:val="Compact"/>
            </w:pPr>
            <w:r>
              <w:t xml:space="preserve">2년 1회</w:t>
            </w:r>
          </w:p>
        </w:tc>
        <w:tc>
          <w:tcPr/>
          <w:p>
            <w:pPr>
              <w:pStyle w:val="Compact"/>
            </w:pPr>
            <w:r>
              <w:t xml:space="preserve">서류 간소화 재평가</w:t>
            </w:r>
          </w:p>
        </w:tc>
      </w:tr>
    </w:tbl>
    <w:bookmarkEnd w:id="35"/>
    <w:bookmarkStart w:id="36" w:name="정기-재평가-항목-및-배점-총-100점"/>
    <w:p>
      <w:pPr>
        <w:pStyle w:val="Heading3"/>
      </w:pPr>
      <w:r>
        <w:t xml:space="preserve">9.2.2 정기 재평가 항목 및 배점 (총 100점)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 품질 실적</w:t>
            </w:r>
          </w:p>
        </w:tc>
        <w:tc>
          <w:tcPr/>
          <w:p>
            <w:pPr>
              <w:pStyle w:val="Compact"/>
            </w:pPr>
            <w:r>
              <w:t xml:space="preserve">30점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Q-Score 및 PPM 데이터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정시 납품 실적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 OTD 데이터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 이행도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SCAR 대응 적시성 및 유효성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품질경영시스템 유지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인증 유효성, 내부 개선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기술/서비스 대응력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기술 문의 대응, 긴급 납품 대응, 협력도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경쟁력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시장 대비 가격 적정성, 원가 절감 노력</w:t>
            </w:r>
          </w:p>
        </w:tc>
      </w:tr>
    </w:tbl>
    <w:bookmarkEnd w:id="36"/>
    <w:bookmarkStart w:id="37" w:name="재평가-종합-판정"/>
    <w:p>
      <w:pPr>
        <w:pStyle w:val="Heading3"/>
      </w:pPr>
      <w:r>
        <w:t xml:space="preserve">9.2.3 재평가 종합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종합 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90점 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(우수)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 상태 유지, 발주 우선권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80~89점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(양호)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 상태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70~79점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(보통)</w:t>
            </w:r>
          </w:p>
        </w:tc>
        <w:tc>
          <w:tcPr/>
          <w:p>
            <w:pPr>
              <w:pStyle w:val="Compact"/>
            </w:pPr>
            <w:r>
              <w:t xml:space="preserve">개선 권고, 모니터링 강화, 다음 재평가 시 현장감사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60~69점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(미흡)</w:t>
            </w:r>
          </w:p>
        </w:tc>
        <w:tc>
          <w:tcPr/>
          <w:p>
            <w:pPr>
              <w:pStyle w:val="Compact"/>
            </w:pPr>
            <w:r>
              <w:t xml:space="preserve">개선 계획서 제출 요구, 3개월 내 재평가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60점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(부적격)</w:t>
            </w:r>
          </w:p>
        </w:tc>
        <w:tc>
          <w:tcPr/>
          <w:p>
            <w:pPr>
              <w:pStyle w:val="Compact"/>
            </w:pPr>
            <w:r>
              <w:t xml:space="preserve">ASL 정지(Suspended) 또는 삭제(Removed) 검토</w:t>
            </w:r>
          </w:p>
        </w:tc>
      </w:tr>
    </w:tbl>
    <w:bookmarkEnd w:id="37"/>
    <w:bookmarkStart w:id="38" w:name="재평가-결과-조치"/>
    <w:p>
      <w:pPr>
        <w:pStyle w:val="Heading3"/>
      </w:pPr>
      <w:r>
        <w:t xml:space="preserve">9.2.4 재평가 결과 조치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등급 하락 시</w:t>
      </w:r>
      <w:r>
        <w:t xml:space="preserve">: 구매팀장은 해당 공급자에 서면으로 성과 개선을 요구하고, 개선 계획서를 접수한다.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2회 연속 C등급 이하</w:t>
      </w:r>
      <w:r>
        <w:t xml:space="preserve">: QMR 보고 후 ASL 정지 여부를 결정한다.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F등급 판정</w:t>
      </w:r>
      <w:r>
        <w:t xml:space="preserve">: QMR 승인 하에 ASL 정지(Suspended)하고, 대체 공급자 개발을 착수한다.</w:t>
      </w:r>
    </w:p>
    <w:p>
      <w:pPr>
        <w:pStyle w:val="Compact"/>
        <w:numPr>
          <w:ilvl w:val="0"/>
          <w:numId w:val="1004"/>
        </w:numPr>
      </w:pPr>
      <w:r>
        <w:t xml:space="preserve">재평가 결과는 경영검토 입력 사항으로 보고한다.</w:t>
      </w:r>
    </w:p>
    <w:bookmarkEnd w:id="38"/>
    <w:bookmarkEnd w:id="39"/>
    <w:bookmarkEnd w:id="40"/>
    <w:bookmarkStart w:id="46" w:name="외주-특수공정-관리"/>
    <w:p>
      <w:pPr>
        <w:pStyle w:val="Heading1"/>
      </w:pPr>
      <w:r>
        <w:t xml:space="preserve">10. 외주 특수공정 관리</w:t>
      </w:r>
    </w:p>
    <w:p>
      <w:pPr>
        <w:pStyle w:val="BlockText"/>
      </w:pPr>
      <w:r>
        <w:rPr>
          <w:b/>
          <w:bCs/>
        </w:rPr>
        <w:t xml:space="preserve">본 절은 CAR-010 시정조치로서 신규 수립된 절차이다.</w:t>
      </w:r>
    </w:p>
    <w:bookmarkStart w:id="41" w:name="특수공정의-정의-및-범위"/>
    <w:p>
      <w:pPr>
        <w:pStyle w:val="Heading2"/>
      </w:pPr>
      <w:r>
        <w:t xml:space="preserve">10.1 특수공정의 정의 및 범위</w:t>
      </w:r>
    </w:p>
    <w:p>
      <w:pPr>
        <w:pStyle w:val="FirstParagraph"/>
      </w:pPr>
      <w:r>
        <w:t xml:space="preserve">다음 공정을 외주 특수공정으로 분류하고, 본 절의 관리 요건을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38"/>
        <w:gridCol w:w="3283"/>
        <w:gridCol w:w="28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NADCAP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규격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도금 (Plating)</w:t>
            </w:r>
          </w:p>
        </w:tc>
        <w:tc>
          <w:tcPr/>
          <w:p>
            <w:pPr>
              <w:pStyle w:val="Compact"/>
            </w:pPr>
            <w:r>
              <w:t xml:space="preserve">Chemical Processing (CP)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MIL-DTL-5541, AMS-QQ-N-290, AMS 2404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열처리 (Heat Treatment)</w:t>
            </w:r>
          </w:p>
        </w:tc>
        <w:tc>
          <w:tcPr/>
          <w:p>
            <w:pPr>
              <w:pStyle w:val="Compact"/>
            </w:pPr>
            <w:r>
              <w:t xml:space="preserve">Heat Treating (HT)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AMS 2759, AMS-H-6875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비파괴검사 (NDT)</w:t>
            </w:r>
          </w:p>
        </w:tc>
        <w:tc>
          <w:tcPr/>
          <w:p>
            <w:pPr>
              <w:pStyle w:val="Compact"/>
            </w:pPr>
            <w:r>
              <w:t xml:space="preserve">Non-Destructive Testing (NDT)</w:t>
            </w:r>
          </w:p>
        </w:tc>
        <w:tc>
          <w:tcPr/>
          <w:p>
            <w:pPr>
              <w:pStyle w:val="Compact"/>
            </w:pPr>
            <w:r>
              <w:t xml:space="preserve">ASTM E1444, ASTM E2375, NAS 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용접 (Welding)</w:t>
            </w:r>
          </w:p>
        </w:tc>
        <w:tc>
          <w:tcPr/>
          <w:p>
            <w:pPr>
              <w:pStyle w:val="Compact"/>
            </w:pPr>
            <w:r>
              <w:t xml:space="preserve">Welding (WLD)</w:t>
            </w:r>
          </w:p>
        </w:tc>
        <w:tc>
          <w:tcPr/>
          <w:p>
            <w:pPr>
              <w:pStyle w:val="Compact"/>
            </w:pPr>
            <w:r>
              <w:t xml:space="preserve">AWS D17.1, AMS-STD-1595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도장/코팅 (Painting/Coating)</w:t>
            </w:r>
          </w:p>
        </w:tc>
        <w:tc>
          <w:tcPr/>
          <w:p>
            <w:pPr>
              <w:pStyle w:val="Compact"/>
            </w:pPr>
            <w:r>
              <w:t xml:space="preserve">Coatings (CTG)</w:t>
            </w:r>
          </w:p>
        </w:tc>
        <w:tc>
          <w:tcPr/>
          <w:p>
            <w:pPr>
              <w:pStyle w:val="Compact"/>
            </w:pPr>
            <w:r>
              <w:t xml:space="preserve">MIL-PRF-85285, AMS-C-27725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화학처리 (Chemical Processing)</w:t>
            </w:r>
          </w:p>
        </w:tc>
        <w:tc>
          <w:tcPr/>
          <w:p>
            <w:pPr>
              <w:pStyle w:val="Compact"/>
            </w:pPr>
            <w:r>
              <w:t xml:space="preserve">Chemical Processing (CP)</w:t>
            </w:r>
          </w:p>
        </w:tc>
        <w:tc>
          <w:tcPr/>
          <w:p>
            <w:pPr>
              <w:pStyle w:val="Compact"/>
            </w:pPr>
            <w:r>
              <w:t xml:space="preserve">MIL-DTL-5002, AMS 2480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복합재 가공 (Composites)</w:t>
            </w:r>
          </w:p>
        </w:tc>
        <w:tc>
          <w:tcPr/>
          <w:p>
            <w:pPr>
              <w:pStyle w:val="Compact"/>
            </w:pPr>
            <w:r>
              <w:t xml:space="preserve">Composites (COMP)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납땜/브레이징 (Soldering/Brazing)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J-STD-001 (해당 시)</w:t>
            </w:r>
          </w:p>
        </w:tc>
      </w:tr>
    </w:tbl>
    <w:bookmarkEnd w:id="41"/>
    <w:bookmarkStart w:id="42" w:name="특수공정-공급자-선정-기준"/>
    <w:p>
      <w:pPr>
        <w:pStyle w:val="Heading2"/>
      </w:pPr>
      <w:r>
        <w:t xml:space="preserve">10.2 특수공정 공급자 선정 기준</w:t>
      </w:r>
    </w:p>
    <w:p>
      <w:pPr>
        <w:pStyle w:val="FirstParagraph"/>
      </w:pPr>
      <w:r>
        <w:t xml:space="preserve">특수공정 공급자(Level S) 선정 시 아래 추가 요건을 적용한다.</w:t>
      </w:r>
    </w:p>
    <w:p>
      <w:pPr>
        <w:pStyle w:val="BodyText"/>
      </w:pPr>
      <w:r>
        <w:rPr>
          <w:b/>
          <w:bCs/>
        </w:rPr>
        <w:t xml:space="preserve">NADCAP 인증 공급자 우대 원칙</w:t>
      </w:r>
      <w:r>
        <w:t xml:space="preserve">:</w:t>
      </w:r>
      <w:r>
        <w:t xml:space="preserve"> </w:t>
      </w:r>
      <w:r>
        <w:t xml:space="preserve">- NADCAP 인증 보유 공급자를 우선 선정한다.</w:t>
      </w:r>
      <w:r>
        <w:t xml:space="preserve"> </w:t>
      </w:r>
      <w:r>
        <w:t xml:space="preserve">- NADCAP 미인증 공급자 사용은 다음 조건을 모두 충족하는 경우에만 허용한다:</w:t>
      </w:r>
      <w:r>
        <w:t xml:space="preserve"> </w:t>
      </w:r>
      <w:r>
        <w:t xml:space="preserve">- (a) NADCAP 인증 공급자가 해당 지역/공정에 존재하지 않음을 입증</w:t>
      </w:r>
      <w:r>
        <w:t xml:space="preserve"> </w:t>
      </w:r>
      <w:r>
        <w:t xml:space="preserve">- (b) 자체 품질시스템이 AS9100D 이상 수준으로 운영됨을 현장감사로 확인</w:t>
      </w:r>
      <w:r>
        <w:t xml:space="preserve"> </w:t>
      </w:r>
      <w:r>
        <w:t xml:space="preserve">- (c) 해당 공정에 대한 공정 인정(Process Qualification) 기록 보유</w:t>
      </w:r>
      <w:r>
        <w:t xml:space="preserve"> </w:t>
      </w:r>
      <w:r>
        <w:t xml:space="preserve">- (d) 고객의 사전 서면 승인 득함 (고객 요구사항에 NADCAP 지정 시)</w:t>
      </w:r>
      <w:r>
        <w:t xml:space="preserve"> </w:t>
      </w:r>
      <w:r>
        <w:t xml:space="preserve">- (e) QMR 승인</w:t>
      </w:r>
    </w:p>
    <w:p>
      <w:pPr>
        <w:pStyle w:val="BodyText"/>
      </w:pPr>
      <w:r>
        <w:rPr>
          <w:b/>
          <w:bCs/>
        </w:rPr>
        <w:t xml:space="preserve">특수공정 공급자 초기 평가 추가 항목</w:t>
      </w:r>
      <w:r>
        <w:t xml:space="preserve">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50"/>
        <w:gridCol w:w="1638"/>
        <w:gridCol w:w="27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추가 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인증 보유</w:t>
            </w:r>
          </w:p>
        </w:tc>
        <w:tc>
          <w:tcPr/>
          <w:p>
            <w:pPr>
              <w:pStyle w:val="Compact"/>
            </w:pPr>
            <w:r>
              <w:t xml:space="preserve">20점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인증서 유효기간, 인증 범위(Scope), Merit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인정 현황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공정/재질별 인정(Qualification)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통제 계획</w:t>
            </w:r>
          </w:p>
        </w:tc>
        <w:tc>
          <w:tcPr/>
          <w:p>
            <w:pPr>
              <w:pStyle w:val="Compact"/>
            </w:pPr>
            <w:r>
              <w:t xml:space="preserve">15점</w:t>
            </w:r>
          </w:p>
        </w:tc>
        <w:tc>
          <w:tcPr/>
          <w:p>
            <w:pPr>
              <w:pStyle w:val="Compact"/>
            </w:pPr>
            <w:r>
              <w:t xml:space="preserve">공정 파라미터 관리, SPC 운영, 환경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자격 인증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NAS 410 / SNT-TC-1A (NDT) 등 자격 보유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장비/역량</w:t>
            </w:r>
          </w:p>
        </w:tc>
        <w:tc>
          <w:tcPr/>
          <w:p>
            <w:pPr>
              <w:pStyle w:val="Compact"/>
            </w:pPr>
            <w:r>
              <w:t xml:space="preserve">10점</w:t>
            </w:r>
          </w:p>
        </w:tc>
        <w:tc>
          <w:tcPr/>
          <w:p>
            <w:pPr>
              <w:pStyle w:val="Compact"/>
            </w:pPr>
            <w:r>
              <w:t xml:space="preserve">시험 장비 보유, 교정 관리, 시험 역량</w:t>
            </w:r>
          </w:p>
        </w:tc>
      </w:tr>
    </w:tbl>
    <w:bookmarkEnd w:id="42"/>
    <w:bookmarkStart w:id="43" w:name="특수공정-발주-시-요구사항-명기"/>
    <w:p>
      <w:pPr>
        <w:pStyle w:val="Heading2"/>
      </w:pPr>
      <w:r>
        <w:t xml:space="preserve">10.3 특수공정 발주 시 요구사항 명기</w:t>
      </w:r>
    </w:p>
    <w:p>
      <w:pPr>
        <w:pStyle w:val="FirstParagraph"/>
      </w:pPr>
      <w:r>
        <w:t xml:space="preserve">특수공정 외주 발주서(PO)에는 다음 사항을 필수 명기한다: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418"/>
        <w:gridCol w:w="2501"/>
      </w:tblGrid>
      <w:tr>
        <w:trPr>
          <w:tblHeader w:val="on"/>
        </w:trPr>
        <w:tc>
          <w:tcPr>
            <w:tcW w:w="265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명기 사항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사양/규격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사양서 번호 및 개정판 (예: MIL-DTL-5541 Type I, Class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재질/소재 정보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처리 대상 재질, 열처리 조건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요건</w:t>
            </w:r>
          </w:p>
        </w:tc>
        <w:tc>
          <w:tcPr/>
          <w:p>
            <w:pPr>
              <w:pStyle w:val="Compact"/>
            </w:pPr>
            <w:r>
              <w:t xml:space="preserve">온도, 시간, 두께, 강도 등 구체적 공정 파라미터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검사/시험 요건</w:t>
            </w:r>
          </w:p>
        </w:tc>
        <w:tc>
          <w:tcPr>
            <w:tcW w:w="613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필요한 검사/시험 항목 및 판정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성적서 제출 요건</w:t>
            </w:r>
          </w:p>
        </w:tc>
        <w:tc>
          <w:tcPr/>
          <w:p>
            <w:pPr>
              <w:pStyle w:val="Compact"/>
            </w:pPr>
            <w:r>
              <w:t xml:space="preserve">CoC(적합증명서), 시험 성적서, 공정 기록 제출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요건</w:t>
            </w:r>
          </w:p>
        </w:tc>
        <w:tc>
          <w:tcPr/>
          <w:p>
            <w:pPr>
              <w:pStyle w:val="Compact"/>
            </w:pPr>
            <w:r>
              <w:t xml:space="preserve">로트 번호, 배치 번호 추적 가능 상태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항공우주 요구사항</w:t>
            </w:r>
          </w:p>
        </w:tc>
        <w:tc>
          <w:tcPr/>
          <w:p>
            <w:pPr>
              <w:pStyle w:val="Compact"/>
            </w:pPr>
            <w:r>
              <w:t xml:space="preserve">AS9100D 준거 요건, Flow-Down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 요건</w:t>
            </w:r>
          </w:p>
        </w:tc>
        <w:tc>
          <w:tcPr/>
          <w:p>
            <w:pPr>
              <w:pStyle w:val="Compact"/>
            </w:pPr>
            <w:r>
              <w:t xml:space="preserve">고객 PO/사양서에 명시된 추가 요구사항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접근권</w:t>
            </w:r>
          </w:p>
        </w:tc>
        <w:tc>
          <w:tcPr/>
          <w:p>
            <w:pPr>
              <w:pStyle w:val="Compact"/>
            </w:pPr>
            <w:r>
              <w:t xml:space="preserve">당사, 고객, 규제기관의 시설 접근 및 기록 열람 권한</w:t>
            </w:r>
          </w:p>
        </w:tc>
      </w:tr>
    </w:tbl>
    <w:bookmarkEnd w:id="43"/>
    <w:bookmarkStart w:id="44" w:name="특수공정-납품물-수입검사"/>
    <w:p>
      <w:pPr>
        <w:pStyle w:val="Heading2"/>
      </w:pPr>
      <w:r>
        <w:t xml:space="preserve">10.4 특수공정 납품물 수입검사</w:t>
      </w:r>
    </w:p>
    <w:p>
      <w:pPr>
        <w:pStyle w:val="Compact"/>
        <w:numPr>
          <w:ilvl w:val="0"/>
          <w:numId w:val="1005"/>
        </w:numPr>
      </w:pPr>
      <w:r>
        <w:t xml:space="preserve">특수공정 납품물에 대해 CoC(적합증명서)를 필수 확인한다.</w:t>
      </w:r>
    </w:p>
    <w:p>
      <w:pPr>
        <w:pStyle w:val="Compact"/>
        <w:numPr>
          <w:ilvl w:val="0"/>
          <w:numId w:val="1005"/>
        </w:numPr>
      </w:pPr>
      <w:r>
        <w:t xml:space="preserve">CoC에는 적용 사양, 공정 조건, 시험 결과, 합격 판정이 기재되어야 한다.</w:t>
      </w:r>
    </w:p>
    <w:p>
      <w:pPr>
        <w:pStyle w:val="Compact"/>
        <w:numPr>
          <w:ilvl w:val="0"/>
          <w:numId w:val="1005"/>
        </w:numPr>
      </w:pPr>
      <w:r>
        <w:t xml:space="preserve">품질팀은 리스크 기반으로 수입검사 수준을 결정하며, 최초 납품 및 중대 부적합 후에는 강화 검사를 실시한다.</w:t>
      </w:r>
    </w:p>
    <w:p>
      <w:pPr>
        <w:pStyle w:val="Compact"/>
        <w:numPr>
          <w:ilvl w:val="0"/>
          <w:numId w:val="1005"/>
        </w:numPr>
      </w:pPr>
      <w:r>
        <w:t xml:space="preserve">NDT 외주 시, 시험 성적서의 자격 인증 작업자 서명 여부를 확인한다.</w:t>
      </w:r>
    </w:p>
    <w:bookmarkEnd w:id="44"/>
    <w:bookmarkStart w:id="45" w:name="특수공정-공급자-감사"/>
    <w:p>
      <w:pPr>
        <w:pStyle w:val="Heading2"/>
      </w:pPr>
      <w:r>
        <w:t xml:space="preserve">10.5 특수공정 공급자 감사</w:t>
      </w:r>
    </w:p>
    <w:p>
      <w:pPr>
        <w:pStyle w:val="Compact"/>
        <w:numPr>
          <w:ilvl w:val="0"/>
          <w:numId w:val="1006"/>
        </w:numPr>
      </w:pPr>
      <w:r>
        <w:t xml:space="preserve">Level S 공급자에 대해 연 1회 이상 정기 감사를 실시한다.</w:t>
      </w:r>
    </w:p>
    <w:p>
      <w:pPr>
        <w:pStyle w:val="Compact"/>
        <w:numPr>
          <w:ilvl w:val="0"/>
          <w:numId w:val="1006"/>
        </w:numPr>
      </w:pPr>
      <w:r>
        <w:t xml:space="preserve">감사 시 NADCAP 체크리스트 또는 사내 특수공정 감사 체크리스트(QF-808-07)를 활용한다.</w:t>
      </w:r>
    </w:p>
    <w:p>
      <w:pPr>
        <w:pStyle w:val="Compact"/>
        <w:numPr>
          <w:ilvl w:val="0"/>
          <w:numId w:val="1006"/>
        </w:numPr>
      </w:pPr>
      <w:r>
        <w:t xml:space="preserve">감사 결과 부적합 발견 시, SCAR를 발행하고 시정조치 이행 여부를 추적한다.</w:t>
      </w:r>
    </w:p>
    <w:p>
      <w:pPr>
        <w:pStyle w:val="Compact"/>
        <w:numPr>
          <w:ilvl w:val="0"/>
          <w:numId w:val="1006"/>
        </w:numPr>
      </w:pPr>
      <w:r>
        <w:t xml:space="preserve">NADCAP 인증 공급자의 경우, PRI 인증 감사 결과(Merit/Non-Merit/Revocation)를 모니터링하고, 인증 상태 변동 시 적절한 조치를 취한다.</w:t>
      </w:r>
    </w:p>
    <w:bookmarkEnd w:id="45"/>
    <w:bookmarkEnd w:id="46"/>
    <w:bookmarkStart w:id="54" w:name="위조부품-방지"/>
    <w:p>
      <w:pPr>
        <w:pStyle w:val="Heading1"/>
      </w:pPr>
      <w:r>
        <w:t xml:space="preserve">11. 위조부품 방지</w:t>
      </w:r>
    </w:p>
    <w:bookmarkStart w:id="47" w:name="위조부품-방지-방침"/>
    <w:p>
      <w:pPr>
        <w:pStyle w:val="Heading2"/>
      </w:pPr>
      <w:r>
        <w:t xml:space="preserve">11.1 위조부품 방지 방침</w:t>
      </w:r>
    </w:p>
    <w:p>
      <w:pPr>
        <w:pStyle w:val="FirstParagraph"/>
      </w:pPr>
      <w:r>
        <w:t xml:space="preserve">M&amp;C Electronics VINA는 항공우주 제품의 안전성과 신뢰성을 보장하기 위해, 위조부품(Counterfeit Parts) 및 의심부품(Suspect Parts)의 유입을 방지하기 위한 체계적 관리를 수행한다.</w:t>
      </w:r>
    </w:p>
    <w:bookmarkEnd w:id="47"/>
    <w:bookmarkStart w:id="48" w:name="적용-규격"/>
    <w:p>
      <w:pPr>
        <w:pStyle w:val="Heading2"/>
      </w:pPr>
      <w:r>
        <w:t xml:space="preserve">11.2 적용 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AS6174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위조부품 방지 — 부품 취득(Acquisition) 시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AS6081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위조/부적합 전자부품 — 유통업체의 방지, 검출 및 처분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AS6171</w:t>
            </w:r>
          </w:p>
        </w:tc>
        <w:tc>
          <w:tcPr/>
          <w:p>
            <w:pPr>
              <w:pStyle w:val="Compact"/>
            </w:pPr>
            <w:r>
              <w:t xml:space="preserve">위조/부적합 전자부품 — 시험 방법론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AS7003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구매자를 위한 위조 전자부품 회피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DFARS 252.246-7007</w:t>
            </w:r>
          </w:p>
        </w:tc>
        <w:tc>
          <w:tcPr/>
          <w:p>
            <w:pPr>
              <w:pStyle w:val="Compact"/>
            </w:pPr>
            <w:r>
              <w:t xml:space="preserve">미 국방성 위조 전자부품 방지 (해당 계약 시)</w:t>
            </w:r>
          </w:p>
        </w:tc>
      </w:tr>
    </w:tbl>
    <w:bookmarkEnd w:id="48"/>
    <w:bookmarkStart w:id="49" w:name="위조부품-방지-조달-원칙"/>
    <w:p>
      <w:pPr>
        <w:pStyle w:val="Heading2"/>
      </w:pPr>
      <w:r>
        <w:t xml:space="preserve">11.3 위조부품 방지 조달 원칙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OCM/OEM 직접 구매 우선</w:t>
      </w:r>
      <w:r>
        <w:t xml:space="preserve">: 부품은 OCM(Original Component Manufacturer) 또는 OEM으로부터 직접 구매를 원칙으로 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공인 유통업체 사용</w:t>
      </w:r>
      <w:r>
        <w:t xml:space="preserve">: OCM 직접 구매가 불가능한 경우, OCM이 공인한 유통업체(Authorized Distributor)를 통해 구매한다.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비공인 유통업체 사용 제한</w:t>
      </w:r>
      <w:r>
        <w:t xml:space="preserve">: 비공인 유통업체(Independent Distributor/Broker)로부터의 구매는 원칙적으로 금지한다. 불가피한 경우 아래 조건을 모두 충족해야 한다: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09"/>
        </w:numPr>
      </w:pPr>
      <w:r>
        <w:t xml:space="preserve">OCM 및 공인 유통업체로부터 조달 불가 사유 문서화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0"/>
        </w:numPr>
      </w:pPr>
      <w:r>
        <w:t xml:space="preserve">QMR 사전 승인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1"/>
        </w:numPr>
      </w:pPr>
      <w:r>
        <w:t xml:space="preserve">강화 수입검사 및 위조부품 시험 실시 (AS6171 준거)</w:t>
      </w:r>
    </w:p>
    <w:p>
      <w:pPr>
        <w:pStyle w:val="Compact"/>
        <w:numPr>
          <w:ilvl w:val="1"/>
          <w:numId w:val="1008"/>
        </w:numPr>
      </w:pPr>
    </w:p>
    <w:p>
      <w:pPr>
        <w:pStyle w:val="Compact"/>
        <w:numPr>
          <w:ilvl w:val="2"/>
          <w:numId w:val="1012"/>
        </w:numPr>
      </w:pPr>
      <w:r>
        <w:t xml:space="preserve">부품 이력 추적 가능(Chain of Custody) 확인</w:t>
      </w:r>
    </w:p>
    <w:bookmarkEnd w:id="49"/>
    <w:bookmarkStart w:id="52" w:name="위조부품-검출-절차"/>
    <w:p>
      <w:pPr>
        <w:pStyle w:val="Heading2"/>
      </w:pPr>
      <w:r>
        <w:t xml:space="preserve">11.4 위조부품 검출 절차</w:t>
      </w:r>
    </w:p>
    <w:bookmarkStart w:id="50" w:name="수입검사-시-위조부품-점검"/>
    <w:p>
      <w:pPr>
        <w:pStyle w:val="Heading3"/>
      </w:pPr>
      <w:r>
        <w:t xml:space="preserve">11.4.1 수입검사 시 위조부품 점검</w:t>
      </w:r>
    </w:p>
    <w:p>
      <w:pPr>
        <w:pStyle w:val="FirstParagraph"/>
      </w:pPr>
      <w:r>
        <w:t xml:space="preserve">수입검사 시 다음 항목을 점검하여 위조부품 유입을 방지한다: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7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포장/라벨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OCM 정품 포장, 라벨 진위 여부, 제조일/로트 번호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검사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마킹 상태, 리드/핀 상태, 재가공 흔적, 블랙탑핑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서류 확인</w:t>
            </w:r>
          </w:p>
        </w:tc>
        <w:tc>
          <w:tcPr/>
          <w:p>
            <w:pPr>
              <w:pStyle w:val="Compact"/>
            </w:pPr>
            <w:r>
              <w:t xml:space="preserve">CoC(적합증명서), 시험 성적서, 원산지 증명, 이력 추적 서류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유통 경로</w:t>
            </w:r>
          </w:p>
        </w:tc>
        <w:tc>
          <w:tcPr>
            <w:tcW w:w="69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OCM → 공인유통 → 당사의 유통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데이터</w:t>
            </w:r>
          </w:p>
        </w:tc>
        <w:tc>
          <w:tcPr/>
          <w:p>
            <w:pPr>
              <w:pStyle w:val="Compact"/>
            </w:pPr>
            <w:r>
              <w:t xml:space="preserve">OCM 데이터시트 대비 외형/사양 일치 여부</w:t>
            </w:r>
          </w:p>
        </w:tc>
      </w:tr>
    </w:tbl>
    <w:bookmarkEnd w:id="50"/>
    <w:bookmarkStart w:id="51" w:name="위조부품-의심-시-처리-절차"/>
    <w:p>
      <w:pPr>
        <w:pStyle w:val="Heading3"/>
      </w:pPr>
      <w:r>
        <w:t xml:space="preserve">11.4.2 위조부품 의심 시 처리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위조/의심부품 발견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[1] 즉시 격리 (적색 태그 부착, 격리 구역 보관)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[2] 품질팀장에 보고 → QMR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[3] 추가 검증 시험 실시 (XRF, 디캡슐레이션, X-ray 등)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[4] 위조 확정 시: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├→ [4a] 공급자 통보 및 SCAR 발행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├→ [4b] 해당 로트 전량 격리 및 반품/폐기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├→ [4c] 고객 통보 (이미 납품된 경우)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├→ [4d] 관련 정부/규제기관 보고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├→ [4e] GIDEP Alert 또는 ERAI 보고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└→ [4f] ASL에서 해당 공급자 정지 또는 삭제</w:t>
            </w:r>
          </w:p>
        </w:tc>
      </w:tr>
    </w:tbl>
    <w:bookmarkEnd w:id="51"/>
    <w:bookmarkEnd w:id="52"/>
    <w:bookmarkStart w:id="53" w:name="위조부품-방지-교육"/>
    <w:p>
      <w:pPr>
        <w:pStyle w:val="Heading2"/>
      </w:pPr>
      <w:r>
        <w:t xml:space="preserve">11.5 위조부품 방지 교육</w:t>
      </w:r>
    </w:p>
    <w:p>
      <w:pPr>
        <w:pStyle w:val="Compact"/>
        <w:numPr>
          <w:ilvl w:val="0"/>
          <w:numId w:val="1013"/>
        </w:numPr>
      </w:pPr>
      <w:r>
        <w:t xml:space="preserve">구매팀, 품질팀(수입검사 담당), 창고 담당자를 대상으로 연 1회 이상 위조부품 방지 교육을 실시한다.</w:t>
      </w:r>
    </w:p>
    <w:p>
      <w:pPr>
        <w:pStyle w:val="Compact"/>
        <w:numPr>
          <w:ilvl w:val="0"/>
          <w:numId w:val="1013"/>
        </w:numPr>
      </w:pPr>
      <w:r>
        <w:t xml:space="preserve">교육 내용: 위조부품의 유형 및 특징, 육안 검사 기법, 의심부품 보고 절차, 조달 경로 관리</w:t>
      </w:r>
    </w:p>
    <w:bookmarkEnd w:id="53"/>
    <w:bookmarkEnd w:id="54"/>
    <w:bookmarkStart w:id="59" w:name="공급자-부적합-처리-및-시정조치"/>
    <w:p>
      <w:pPr>
        <w:pStyle w:val="Heading1"/>
      </w:pPr>
      <w:r>
        <w:t xml:space="preserve">12. 공급자 부적합 처리 및 시정조치</w:t>
      </w:r>
    </w:p>
    <w:bookmarkStart w:id="55" w:name="공급자-부적합-유형"/>
    <w:p>
      <w:pPr>
        <w:pStyle w:val="Heading2"/>
      </w:pPr>
      <w:r>
        <w:t xml:space="preserve">12.1 공급자 부적합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부적합</w:t>
            </w:r>
          </w:p>
        </w:tc>
        <w:tc>
          <w:tcPr/>
          <w:p>
            <w:pPr>
              <w:pStyle w:val="Compact"/>
            </w:pPr>
            <w:r>
              <w:t xml:space="preserve">규격/사양 미달, 치수 불량, 기능 불량 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SCAR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부적합</w:t>
            </w:r>
          </w:p>
        </w:tc>
        <w:tc>
          <w:tcPr/>
          <w:p>
            <w:pPr>
              <w:pStyle w:val="Compact"/>
            </w:pPr>
            <w:r>
              <w:t xml:space="preserve">약정 납기 미준수 (지연 또는 조기 납품)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서면 경고 → 반복 시 SCAR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서류 부적합</w:t>
            </w:r>
          </w:p>
        </w:tc>
        <w:tc>
          <w:tcPr/>
          <w:p>
            <w:pPr>
              <w:pStyle w:val="Compact"/>
            </w:pPr>
            <w:r>
              <w:t xml:space="preserve">CoC 누락, 시험 성적서 미제출, 추적성 서류 불비</w:t>
            </w:r>
          </w:p>
        </w:tc>
        <w:tc>
          <w:tcPr/>
          <w:p>
            <w:pPr>
              <w:pStyle w:val="Compact"/>
            </w:pPr>
            <w:r>
              <w:t xml:space="preserve">반품 또는 보완 요청 → 반복 시 SCAR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위조/의심부품</w:t>
            </w:r>
          </w:p>
        </w:tc>
        <w:tc>
          <w:tcPr/>
          <w:p>
            <w:pPr>
              <w:pStyle w:val="Compact"/>
            </w:pPr>
            <w:r>
              <w:t xml:space="preserve">위조부품 또는 의심부품 납품</w:t>
            </w:r>
          </w:p>
        </w:tc>
        <w:tc>
          <w:tcPr/>
          <w:p>
            <w:pPr>
              <w:pStyle w:val="Compact"/>
            </w:pPr>
            <w:r>
              <w:t xml:space="preserve">SCAR + ASL 정지/삭제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부적합</w:t>
            </w:r>
          </w:p>
        </w:tc>
        <w:tc>
          <w:tcPr/>
          <w:p>
            <w:pPr>
              <w:pStyle w:val="Compact"/>
            </w:pPr>
            <w:r>
              <w:t xml:space="preserve">공정 파라미터 미준수, 인증 범위 초과 작업 등</w:t>
            </w:r>
          </w:p>
        </w:tc>
        <w:tc>
          <w:tcPr/>
          <w:p>
            <w:pPr>
              <w:pStyle w:val="Compact"/>
            </w:pPr>
            <w:r>
              <w:t xml:space="preserve">SCAR + 현장감사</w:t>
            </w:r>
          </w:p>
        </w:tc>
      </w:tr>
    </w:tbl>
    <w:bookmarkEnd w:id="55"/>
    <w:bookmarkStart w:id="56" w:name="scar공급자-시정조치-요구서-처리-절차"/>
    <w:p>
      <w:pPr>
        <w:pStyle w:val="Heading2"/>
      </w:pPr>
      <w:r>
        <w:t xml:space="preserve">12.2 SCAR(공급자 시정조치 요구서) 처리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부적합 발생 / 수입검사 불합격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[1] 품질팀: 부적합 내용 확인 및 기록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[2] 품질팀장: SCAR 발행 결정 (경미 사항은 서면 경고)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[3] 품질팀: SCAR 작성 및 공급자 발송 (QF-808-05)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├── 부적합 내용, 관련 증빙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├── 시정조치 요구 사항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└── 응답 기한: 발행일로부터 10 영업일 이내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[4] 공급자: 원인 분석 + 시정조치 계획 제출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[5] 품질팀: 시정조치 적절성 검토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├── 적절: 시정조치 이행 모니터링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└── 부적절: 재제출 요구 (1회 추가 기회)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[6] 시정조치 이행 확인 및 유효성 검증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[7] SCAR 종결 (품질팀장 승인)</w:t>
            </w:r>
          </w:p>
        </w:tc>
      </w:tr>
    </w:tbl>
    <w:bookmarkEnd w:id="56"/>
    <w:bookmarkStart w:id="57" w:name="공급자-제재-기준"/>
    <w:p>
      <w:pPr>
        <w:pStyle w:val="Heading2"/>
      </w:pPr>
      <w:r>
        <w:t xml:space="preserve">12.3 공급자 제재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제재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 미응답 (기한 초과 2회 이상)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정지 (Suspended)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부적합 반복 발생 (12개월 내 3회 이상)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 정지 (Suspended)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 품질 부적합 (안전/기능 영향)</w:t>
            </w:r>
          </w:p>
        </w:tc>
        <w:tc>
          <w:tcPr/>
          <w:p>
            <w:pPr>
              <w:pStyle w:val="Compact"/>
            </w:pPr>
            <w:r>
              <w:t xml:space="preserve">즉시 ASL 정지 + 출하정지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납품 확인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ASL 삭제 (Removed)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 시정조치 이행 실패 (90일 초과 미완료)</w:t>
            </w:r>
          </w:p>
        </w:tc>
        <w:tc>
          <w:tcPr/>
          <w:p>
            <w:pPr>
              <w:pStyle w:val="Compact"/>
            </w:pPr>
            <w:r>
              <w:t xml:space="preserve">ASL 정지 → 180일 미완료 시 삭제</w:t>
            </w:r>
          </w:p>
        </w:tc>
      </w:tr>
    </w:tbl>
    <w:bookmarkEnd w:id="57"/>
    <w:bookmarkStart w:id="58" w:name="공급자-복원-절차"/>
    <w:p>
      <w:pPr>
        <w:pStyle w:val="Heading2"/>
      </w:pPr>
      <w:r>
        <w:t xml:space="preserve">12.4 공급자 복원 절차</w:t>
      </w:r>
    </w:p>
    <w:p>
      <w:pPr>
        <w:pStyle w:val="Compact"/>
        <w:numPr>
          <w:ilvl w:val="0"/>
          <w:numId w:val="1014"/>
        </w:numPr>
      </w:pPr>
      <w:r>
        <w:t xml:space="preserve">ASL 정지(Suspended) 공급자가 복원을 요청하는 경우, 시정조치 완료 증빙 제출 및 품질팀 현장감사 통과 후 QMR 승인을 거쳐 복원한다.</w:t>
      </w:r>
    </w:p>
    <w:p>
      <w:pPr>
        <w:pStyle w:val="Compact"/>
        <w:numPr>
          <w:ilvl w:val="0"/>
          <w:numId w:val="1014"/>
        </w:numPr>
      </w:pPr>
      <w:r>
        <w:t xml:space="preserve">ASL 삭제(Removed) 공급자의 재등재는 최소 12개월 경과 후, 초기 평가 전 절차를 다시 수행해야 한다.</w:t>
      </w:r>
    </w:p>
    <w:bookmarkEnd w:id="58"/>
    <w:bookmarkEnd w:id="59"/>
    <w:bookmarkStart w:id="66" w:name="항공우주-특수-요구사항"/>
    <w:p>
      <w:pPr>
        <w:pStyle w:val="Heading1"/>
      </w:pPr>
      <w:r>
        <w:t xml:space="preserve">13. 항공우주 특수 요구사항</w:t>
      </w:r>
    </w:p>
    <w:bookmarkStart w:id="60" w:name="고객-지정-공급자-customer-directed-source"/>
    <w:p>
      <w:pPr>
        <w:pStyle w:val="Heading2"/>
      </w:pPr>
      <w:r>
        <w:t xml:space="preserve">13.1 고객 지정 공급자 (Customer-Directed Source)</w:t>
      </w:r>
    </w:p>
    <w:p>
      <w:pPr>
        <w:pStyle w:val="Compact"/>
        <w:numPr>
          <w:ilvl w:val="0"/>
          <w:numId w:val="1015"/>
        </w:numPr>
      </w:pPr>
      <w:r>
        <w:t xml:space="preserve">고객이 계약/PO에서 특정 공급자 사용을 지정한 경우, 해당 공급자를 ASL에</w:t>
      </w:r>
      <w:r>
        <w:t xml:space="preserve"> </w:t>
      </w:r>
      <w:r>
        <w:t xml:space="preserve">“고객 지정(Customer-Directed)”</w:t>
      </w:r>
      <w:r>
        <w:t xml:space="preserve"> </w:t>
      </w:r>
      <w:r>
        <w:t xml:space="preserve">상태로 등재한다.</w:t>
      </w:r>
    </w:p>
    <w:p>
      <w:pPr>
        <w:pStyle w:val="Compact"/>
        <w:numPr>
          <w:ilvl w:val="0"/>
          <w:numId w:val="1015"/>
        </w:numPr>
      </w:pPr>
      <w:r>
        <w:t xml:space="preserve">고객 지정 공급자에 대해서도 본 절차서의 초기 평가를 실시한다. 단, 평가 결과와 관계없이 고객의 지시에 따라 사용하되, 평가에서 발견된 리스크는 고객에게 서면 통보한다.</w:t>
      </w:r>
    </w:p>
    <w:p>
      <w:pPr>
        <w:pStyle w:val="Compact"/>
        <w:numPr>
          <w:ilvl w:val="0"/>
          <w:numId w:val="1015"/>
        </w:numPr>
      </w:pPr>
      <w:r>
        <w:t xml:space="preserve">고객 지정 공급자의 부적합 발생 시, 해당 고객에게 즉시 통보하고 공동으로 시정조치를 추진한다.</w:t>
      </w:r>
    </w:p>
    <w:p>
      <w:pPr>
        <w:pStyle w:val="Compact"/>
        <w:numPr>
          <w:ilvl w:val="0"/>
          <w:numId w:val="1015"/>
        </w:numPr>
      </w:pPr>
      <w:r>
        <w:t xml:space="preserve">고객 지정 공급자 사용이 당사의 품질 책임을 면제하지 않음을 인식한다 (AS9100D 8.4.1 Note).</w:t>
      </w:r>
    </w:p>
    <w:bookmarkEnd w:id="60"/>
    <w:bookmarkStart w:id="61" w:name="정부규제기관-접근권-right-of-access"/>
    <w:p>
      <w:pPr>
        <w:pStyle w:val="Heading2"/>
      </w:pPr>
      <w:r>
        <w:t xml:space="preserve">13.2 정부/규제기관 접근권 (Right of Access)</w:t>
      </w:r>
    </w:p>
    <w:p>
      <w:pPr>
        <w:pStyle w:val="Compact"/>
        <w:numPr>
          <w:ilvl w:val="0"/>
          <w:numId w:val="1016"/>
        </w:numPr>
      </w:pPr>
      <w:r>
        <w:t xml:space="preserve">당사의 고객, 고객의 고객, 정부 대표, 규제기관(예: EASA, FAA, CAAV 등)이 다음 목적으로 공급자의 시설에 접근할 수 있는 권리를 보장한다:</w:t>
      </w:r>
    </w:p>
    <w:p>
      <w:pPr>
        <w:pStyle w:val="Compact"/>
        <w:numPr>
          <w:ilvl w:val="1"/>
          <w:numId w:val="1017"/>
        </w:numPr>
      </w:pPr>
      <w:r>
        <w:t xml:space="preserve">품질경영시스템 확인</w:t>
      </w:r>
    </w:p>
    <w:p>
      <w:pPr>
        <w:pStyle w:val="Compact"/>
        <w:numPr>
          <w:ilvl w:val="1"/>
          <w:numId w:val="1017"/>
        </w:numPr>
      </w:pPr>
      <w:r>
        <w:t xml:space="preserve">제품/공정 검사</w:t>
      </w:r>
    </w:p>
    <w:p>
      <w:pPr>
        <w:pStyle w:val="Compact"/>
        <w:numPr>
          <w:ilvl w:val="1"/>
          <w:numId w:val="1017"/>
        </w:numPr>
      </w:pPr>
      <w:r>
        <w:t xml:space="preserve">기록 열람</w:t>
      </w:r>
    </w:p>
    <w:p>
      <w:pPr>
        <w:pStyle w:val="Compact"/>
        <w:numPr>
          <w:ilvl w:val="1"/>
          <w:numId w:val="1017"/>
        </w:numPr>
      </w:pPr>
      <w:r>
        <w:t xml:space="preserve">감사 수행</w:t>
      </w:r>
    </w:p>
    <w:p>
      <w:pPr>
        <w:pStyle w:val="Compact"/>
        <w:numPr>
          <w:ilvl w:val="0"/>
          <w:numId w:val="1016"/>
        </w:numPr>
      </w:pPr>
      <w:r>
        <w:t xml:space="preserve">모든 발주서(PO)에 접근권 조항을 명기한다:</w:t>
      </w:r>
      <w:r>
        <w:t xml:space="preserve"> </w:t>
      </w:r>
      <w:r>
        <w:t xml:space="preserve">&gt;</w:t>
      </w:r>
      <w:r>
        <w:t xml:space="preserve"> </w:t>
      </w:r>
      <w:r>
        <w:t xml:space="preserve">“공급자는 M&amp;C의 고객, 고객의 대리인, 정부 대표 및 규제기관이 해당 주문과 관련된 시설, 장비, 프로세스, 작업, 인력, 기록 등에 접근하여 검사 및 확인할 수 있는 권리를 보장해야 한다.”</w:t>
      </w:r>
    </w:p>
    <w:bookmarkEnd w:id="61"/>
    <w:bookmarkStart w:id="62" w:name="요구사항의-하위-공급자-전달-flow-down"/>
    <w:p>
      <w:pPr>
        <w:pStyle w:val="Heading2"/>
      </w:pPr>
      <w:r>
        <w:t xml:space="preserve">13.3 요구사항의 하위 공급자 전달 (Flow-Down)</w:t>
      </w:r>
    </w:p>
    <w:p>
      <w:pPr>
        <w:pStyle w:val="Compact"/>
        <w:numPr>
          <w:ilvl w:val="0"/>
          <w:numId w:val="1018"/>
        </w:numPr>
      </w:pPr>
      <w:r>
        <w:t xml:space="preserve">발주서(PO)에 다음 요구사항의 하위 공급자(Sub-Tier Supplier)까지의 전달을 의무화한다: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0"/>
        </w:numPr>
      </w:pPr>
      <w:r>
        <w:t xml:space="preserve">적용 사양/규격 및 개정판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1"/>
        </w:numPr>
      </w:pPr>
      <w:r>
        <w:t xml:space="preserve">제품/공정 승인 요건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2"/>
        </w:numPr>
      </w:pPr>
      <w:r>
        <w:t xml:space="preserve">인원의 자격 인증 요건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3"/>
        </w:numPr>
      </w:pPr>
      <w:r>
        <w:t xml:space="preserve">품질경영시스템 요구사항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4"/>
        </w:numPr>
      </w:pPr>
      <w:r>
        <w:t xml:space="preserve">핵심특성(Key Characteristics) 식별 및 관리 요건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5"/>
        </w:numPr>
      </w:pPr>
      <w:r>
        <w:t xml:space="preserve">시험/검사/검증 요건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6"/>
        </w:numPr>
      </w:pPr>
      <w:r>
        <w:t xml:space="preserve">위조부품 방지 요구사항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7"/>
        </w:numPr>
      </w:pPr>
      <w:r>
        <w:t xml:space="preserve">부적합품 통보 요구사항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8"/>
        </w:numPr>
      </w:pPr>
      <w:r>
        <w:t xml:space="preserve">변경 사전 통보 요구사항 (공정, 제품, 시설, 공급자 변경)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9"/>
        </w:numPr>
      </w:pPr>
      <w:r>
        <w:t xml:space="preserve">당사, 고객, 규제기관의 접근권(Right of Access)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30"/>
        </w:numPr>
      </w:pPr>
      <w:r>
        <w:t xml:space="preserve">기록 보존 요건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31"/>
        </w:numPr>
      </w:pPr>
      <w:r>
        <w:t xml:space="preserve">고객 지정 특수 요구사항 (해당 시)</w:t>
      </w:r>
    </w:p>
    <w:bookmarkEnd w:id="62"/>
    <w:bookmarkStart w:id="63" w:name="공급자-변경-통보-의무"/>
    <w:p>
      <w:pPr>
        <w:pStyle w:val="Heading2"/>
      </w:pPr>
      <w:r>
        <w:t xml:space="preserve">13.4 공급자 변경 통보 의무</w:t>
      </w:r>
    </w:p>
    <w:p>
      <w:pPr>
        <w:pStyle w:val="Compact"/>
        <w:numPr>
          <w:ilvl w:val="0"/>
          <w:numId w:val="1032"/>
        </w:numPr>
      </w:pPr>
      <w:r>
        <w:t xml:space="preserve">공급자는 다음 변경 사항을 납품 전에 당사에 사전 통보하여야 하며, 이를 발주서(PO)에 명기한다:</w:t>
      </w:r>
    </w:p>
    <w:p>
      <w:pPr>
        <w:pStyle w:val="Compact"/>
        <w:numPr>
          <w:ilvl w:val="1"/>
          <w:numId w:val="1033"/>
        </w:numPr>
      </w:pPr>
      <w:r>
        <w:t xml:space="preserve">제품 설계/사양 변경</w:t>
      </w:r>
    </w:p>
    <w:p>
      <w:pPr>
        <w:pStyle w:val="Compact"/>
        <w:numPr>
          <w:ilvl w:val="1"/>
          <w:numId w:val="1033"/>
        </w:numPr>
      </w:pPr>
      <w:r>
        <w:t xml:space="preserve">제조 공정 변경</w:t>
      </w:r>
    </w:p>
    <w:p>
      <w:pPr>
        <w:pStyle w:val="Compact"/>
        <w:numPr>
          <w:ilvl w:val="1"/>
          <w:numId w:val="1033"/>
        </w:numPr>
      </w:pPr>
      <w:r>
        <w:t xml:space="preserve">생산 시설/설비 이전 또는 변경</w:t>
      </w:r>
    </w:p>
    <w:p>
      <w:pPr>
        <w:pStyle w:val="Compact"/>
        <w:numPr>
          <w:ilvl w:val="1"/>
          <w:numId w:val="1033"/>
        </w:numPr>
      </w:pPr>
      <w:r>
        <w:t xml:space="preserve">하위 공급자(Sub-Tier) 변경</w:t>
      </w:r>
    </w:p>
    <w:p>
      <w:pPr>
        <w:pStyle w:val="Compact"/>
        <w:numPr>
          <w:ilvl w:val="1"/>
          <w:numId w:val="1033"/>
        </w:numPr>
      </w:pPr>
      <w:r>
        <w:t xml:space="preserve">품질경영시스템 인증 상태 변경 (만료, 취소, 범위 변경)</w:t>
      </w:r>
    </w:p>
    <w:p>
      <w:pPr>
        <w:pStyle w:val="Compact"/>
        <w:numPr>
          <w:ilvl w:val="1"/>
          <w:numId w:val="1033"/>
        </w:numPr>
      </w:pPr>
      <w:r>
        <w:t xml:space="preserve">NADCAP 인증 상태 변경 (해당 시)</w:t>
      </w:r>
    </w:p>
    <w:p>
      <w:pPr>
        <w:pStyle w:val="Compact"/>
        <w:numPr>
          <w:ilvl w:val="0"/>
          <w:numId w:val="1032"/>
        </w:numPr>
      </w:pPr>
      <w:r>
        <w:t xml:space="preserve">당사는 공급자 변경 통보 접수 시, 변경이 제품 품질에 미치는 영향을 평가하고, 필요 시 재승인(Re-qualification)을 실시한다.</w:t>
      </w:r>
    </w:p>
    <w:bookmarkEnd w:id="63"/>
    <w:bookmarkStart w:id="64" w:name="공급자-납품-성과-관리-delivery-performance"/>
    <w:p>
      <w:pPr>
        <w:pStyle w:val="Heading2"/>
      </w:pPr>
      <w:r>
        <w:t xml:space="preserve">13.5 공급자 납품 성과 관리 (Delivery Performance)</w:t>
      </w:r>
    </w:p>
    <w:p>
      <w:pPr>
        <w:pStyle w:val="Compact"/>
        <w:numPr>
          <w:ilvl w:val="0"/>
          <w:numId w:val="1034"/>
        </w:numPr>
      </w:pPr>
      <w:r>
        <w:t xml:space="preserve">AS9100D 8.4.3에 따라, 공급자의 납품 성과를 모니터링한다.</w:t>
      </w:r>
    </w:p>
    <w:p>
      <w:pPr>
        <w:pStyle w:val="Compact"/>
        <w:numPr>
          <w:ilvl w:val="0"/>
          <w:numId w:val="1034"/>
        </w:numPr>
      </w:pPr>
      <w:r>
        <w:t xml:space="preserve">OTD(정시 납품률)가 목표(95%) 미만인 공급자에 대해 개선 조치를 요구한다.</w:t>
      </w:r>
    </w:p>
    <w:p>
      <w:pPr>
        <w:pStyle w:val="Compact"/>
        <w:numPr>
          <w:ilvl w:val="0"/>
          <w:numId w:val="1034"/>
        </w:numPr>
      </w:pPr>
      <w:r>
        <w:t xml:space="preserve">공급자 납품 성과 데이터는 정기 재평가 및 경영검토의 입력 사항으로 활용한다.</w:t>
      </w:r>
    </w:p>
    <w:bookmarkEnd w:id="64"/>
    <w:bookmarkStart w:id="65" w:name="oasis-데이터베이스-활용"/>
    <w:p>
      <w:pPr>
        <w:pStyle w:val="Heading2"/>
      </w:pPr>
      <w:r>
        <w:t xml:space="preserve">13.6 OASIS 데이터베이스 활용</w:t>
      </w:r>
    </w:p>
    <w:p>
      <w:pPr>
        <w:pStyle w:val="Compact"/>
        <w:numPr>
          <w:ilvl w:val="0"/>
          <w:numId w:val="1035"/>
        </w:numPr>
      </w:pPr>
      <w:r>
        <w:t xml:space="preserve">공급자 선정 시 IAQG OASIS 데이터베이스를 참조하여 해당 공급자의 인증 현황, 심사 결과, 시정조치 이력 등을 확인한다.</w:t>
      </w:r>
    </w:p>
    <w:p>
      <w:pPr>
        <w:pStyle w:val="Compact"/>
        <w:numPr>
          <w:ilvl w:val="0"/>
          <w:numId w:val="1035"/>
        </w:numPr>
      </w:pPr>
      <w:r>
        <w:t xml:space="preserve">OASIS에 등록된 공급자의 인증 상태 변동(인증 취소, 정지 등)을 주기적으로(분기 1회) 확인한다.</w:t>
      </w:r>
    </w:p>
    <w:bookmarkEnd w:id="65"/>
    <w:bookmarkEnd w:id="66"/>
    <w:bookmarkStart w:id="69" w:name="기록-관리"/>
    <w:p>
      <w:pPr>
        <w:pStyle w:val="Heading1"/>
      </w:pPr>
      <w:r>
        <w:t xml:space="preserve">14. 기록 관리</w:t>
      </w:r>
    </w:p>
    <w:bookmarkStart w:id="67" w:name="관련-기록-목록"/>
    <w:p>
      <w:pPr>
        <w:pStyle w:val="Heading2"/>
      </w:pPr>
      <w:r>
        <w:t xml:space="preserve">14.1 관련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1980"/>
        <w:gridCol w:w="1980"/>
        <w:gridCol w:w="22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초기 평가서</w:t>
            </w:r>
          </w:p>
        </w:tc>
        <w:tc>
          <w:tcPr/>
          <w:p>
            <w:pPr>
              <w:pStyle w:val="Compact"/>
            </w:pPr>
            <w:r>
              <w:t xml:space="preserve">QF-808-01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공급업체 목록 (ASL)</w:t>
            </w:r>
          </w:p>
        </w:tc>
        <w:tc>
          <w:tcPr/>
          <w:p>
            <w:pPr>
              <w:pStyle w:val="Compact"/>
            </w:pPr>
            <w:r>
              <w:t xml:space="preserve">QF-808-02</w:t>
            </w:r>
          </w:p>
        </w:tc>
        <w:tc>
          <w:tcPr/>
          <w:p>
            <w:pPr>
              <w:pStyle w:val="Compact"/>
            </w:pPr>
            <w:r>
              <w:t xml:space="preserve">영구 (이력 관리)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현장감사 보고서</w:t>
            </w:r>
          </w:p>
        </w:tc>
        <w:tc>
          <w:tcPr/>
          <w:p>
            <w:pPr>
              <w:pStyle w:val="Compact"/>
            </w:pPr>
            <w:r>
              <w:t xml:space="preserve">QF-808-03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품질 요구사항 통보서</w:t>
            </w:r>
          </w:p>
        </w:tc>
        <w:tc>
          <w:tcPr/>
          <w:p>
            <w:pPr>
              <w:pStyle w:val="Compact"/>
            </w:pPr>
            <w:r>
              <w:t xml:space="preserve">QF-808-04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 (공급자 시정조치 요구서)</w:t>
            </w:r>
          </w:p>
        </w:tc>
        <w:tc>
          <w:tcPr/>
          <w:p>
            <w:pPr>
              <w:pStyle w:val="Compact"/>
            </w:pPr>
            <w:r>
              <w:t xml:space="preserve">QF-808-05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정기 재평가 보고서</w:t>
            </w:r>
          </w:p>
        </w:tc>
        <w:tc>
          <w:tcPr/>
          <w:p>
            <w:pPr>
              <w:pStyle w:val="Compact"/>
            </w:pPr>
            <w:r>
              <w:t xml:space="preserve">QF-808-06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구매팀/품질팀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공급자 감사 체크리스트</w:t>
            </w:r>
          </w:p>
        </w:tc>
        <w:tc>
          <w:tcPr/>
          <w:p>
            <w:pPr>
              <w:pStyle w:val="Compact"/>
            </w:pPr>
            <w:r>
              <w:t xml:space="preserve">QF-808-07</w:t>
            </w:r>
          </w:p>
        </w:tc>
        <w:tc>
          <w:tcPr/>
          <w:p>
            <w:pPr>
              <w:pStyle w:val="Compact"/>
            </w:pPr>
            <w:r>
              <w:t xml:space="preserve">거래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위조부품 조사 보고서</w:t>
            </w:r>
          </w:p>
        </w:tc>
        <w:tc>
          <w:tcPr/>
          <w:p>
            <w:pPr>
              <w:pStyle w:val="Compact"/>
            </w:pPr>
            <w:r>
              <w:t xml:space="preserve">QF-808-08</w:t>
            </w:r>
          </w:p>
        </w:tc>
        <w:tc>
          <w:tcPr/>
          <w:p>
            <w:pPr>
              <w:pStyle w:val="Compact"/>
            </w:pPr>
            <w:r>
              <w:t xml:space="preserve">거래 종료 후 15년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성과 모니터링 보고서 (월간/분기)</w:t>
            </w:r>
          </w:p>
        </w:tc>
        <w:tc>
          <w:tcPr/>
          <w:p>
            <w:pPr>
              <w:pStyle w:val="Compact"/>
            </w:pPr>
            <w:r>
              <w:t xml:space="preserve">QF-808-09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구매팀/품질팀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발주서(PO) 및 첨부 서류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계약 종료 후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</w:tbl>
    <w:bookmarkEnd w:id="67"/>
    <w:bookmarkStart w:id="68" w:name="기록-관리-원칙"/>
    <w:p>
      <w:pPr>
        <w:pStyle w:val="Heading2"/>
      </w:pPr>
      <w:r>
        <w:t xml:space="preserve">14.2 기록 관리 원칙</w:t>
      </w:r>
    </w:p>
    <w:p>
      <w:pPr>
        <w:pStyle w:val="Compact"/>
        <w:numPr>
          <w:ilvl w:val="0"/>
          <w:numId w:val="1036"/>
        </w:numPr>
      </w:pPr>
      <w:r>
        <w:t xml:space="preserve">모든 기록은 QP-706(문서화된 정보 관리 절차서)에 따라 관리한다.</w:t>
      </w:r>
    </w:p>
    <w:p>
      <w:pPr>
        <w:pStyle w:val="Compact"/>
        <w:numPr>
          <w:ilvl w:val="0"/>
          <w:numId w:val="1036"/>
        </w:numPr>
      </w:pPr>
      <w:r>
        <w:t xml:space="preserve">전자 기록의 경우 백업을 포함한 데이터 무결성을 보장한다.</w:t>
      </w:r>
    </w:p>
    <w:p>
      <w:pPr>
        <w:pStyle w:val="Compact"/>
        <w:numPr>
          <w:ilvl w:val="0"/>
          <w:numId w:val="1036"/>
        </w:numPr>
      </w:pPr>
      <w:r>
        <w:t xml:space="preserve">항공우주 규제기관 또는 고객이 더 긴 보존기간을 요구하는 경우, 해당 요구사항을 따른다.</w:t>
      </w:r>
    </w:p>
    <w:p>
      <w:pPr>
        <w:pStyle w:val="Compact"/>
        <w:numPr>
          <w:ilvl w:val="0"/>
          <w:numId w:val="1036"/>
        </w:numPr>
      </w:pPr>
      <w:r>
        <w:t xml:space="preserve">위조부품 관련 기록은 최소 15년 보존한다.</w:t>
      </w:r>
    </w:p>
    <w:bookmarkEnd w:id="68"/>
    <w:bookmarkEnd w:id="69"/>
    <w:bookmarkStart w:id="74" w:name="관련-문서-및-양식"/>
    <w:p>
      <w:pPr>
        <w:pStyle w:val="Heading1"/>
      </w:pPr>
      <w:r>
        <w:t xml:space="preserve">15. 관련 문서 및 양식</w:t>
      </w:r>
    </w:p>
    <w:bookmarkStart w:id="70" w:name="관련-절차서"/>
    <w:p>
      <w:pPr>
        <w:pStyle w:val="Heading2"/>
      </w:pPr>
      <w:r>
        <w:t xml:space="preserve">15.1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/>
          <w:p>
            <w:pPr>
              <w:pStyle w:val="Compact"/>
            </w:pPr>
            <w:r>
              <w:t xml:space="preserve">운용 기획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시 외부공급자 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절차서</w:t>
            </w:r>
          </w:p>
        </w:tc>
        <w:tc>
          <w:tcPr/>
          <w:p>
            <w:pPr>
              <w:pStyle w:val="Compact"/>
            </w:pPr>
            <w:r>
              <w:t xml:space="preserve">공급자 리스크 평가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 절차서</w:t>
            </w:r>
          </w:p>
        </w:tc>
        <w:tc>
          <w:tcPr/>
          <w:p>
            <w:pPr>
              <w:pStyle w:val="Compact"/>
            </w:pPr>
            <w:r>
              <w:t xml:space="preserve">고객 요구사항 중 공급자 관련 사항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 절차서</w:t>
            </w:r>
          </w:p>
        </w:tc>
        <w:tc>
          <w:tcPr/>
          <w:p>
            <w:pPr>
              <w:pStyle w:val="Compact"/>
            </w:pPr>
            <w:r>
              <w:t xml:space="preserve">외주 공정 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  <w:tc>
          <w:tcPr/>
          <w:p>
            <w:pPr>
              <w:pStyle w:val="Compact"/>
            </w:pPr>
            <w:r>
              <w:t xml:space="preserve">수입검사 부적합 처리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  <w:tc>
          <w:tcPr/>
          <w:p>
            <w:pPr>
              <w:pStyle w:val="Compact"/>
            </w:pPr>
            <w:r>
              <w:t xml:space="preserve">SCAR 처리 프로세스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/>
          <w:p>
            <w:pPr>
              <w:pStyle w:val="Compact"/>
            </w:pPr>
            <w:r>
              <w:t xml:space="preserve">기록 보존 기준</w:t>
            </w:r>
          </w:p>
        </w:tc>
      </w:tr>
    </w:tbl>
    <w:bookmarkEnd w:id="70"/>
    <w:bookmarkStart w:id="71" w:name="양식-목록"/>
    <w:p>
      <w:pPr>
        <w:pStyle w:val="Heading2"/>
      </w:pPr>
      <w:r>
        <w:t xml:space="preserve">15.2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QF-808-01</w:t>
            </w:r>
          </w:p>
        </w:tc>
        <w:tc>
          <w:tcPr/>
          <w:p>
            <w:pPr>
              <w:pStyle w:val="Compact"/>
            </w:pPr>
            <w:r>
              <w:t xml:space="preserve">외부공급자 초기 평가서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공급자 서류/현장 평가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QF-808-02</w:t>
            </w:r>
          </w:p>
        </w:tc>
        <w:tc>
          <w:tcPr/>
          <w:p>
            <w:pPr>
              <w:pStyle w:val="Compact"/>
            </w:pPr>
            <w:r>
              <w:t xml:space="preserve">승인 공급업체 목록 (ASL)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승인된 공급자 등록/관리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QF-808-03</w:t>
            </w:r>
          </w:p>
        </w:tc>
        <w:tc>
          <w:tcPr/>
          <w:p>
            <w:pPr>
              <w:pStyle w:val="Compact"/>
            </w:pPr>
            <w:r>
              <w:t xml:space="preserve">공급자 현장감사 보고서</w:t>
            </w:r>
          </w:p>
        </w:tc>
        <w:tc>
          <w:tcPr/>
          <w:p>
            <w:pPr>
              <w:pStyle w:val="Compact"/>
            </w:pPr>
            <w:r>
              <w:t xml:space="preserve">현장감사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QF-808-04</w:t>
            </w:r>
          </w:p>
        </w:tc>
        <w:tc>
          <w:tcPr/>
          <w:p>
            <w:pPr>
              <w:pStyle w:val="Compact"/>
            </w:pPr>
            <w:r>
              <w:t xml:space="preserve">공급자 품질 요구사항 통보서</w:t>
            </w:r>
          </w:p>
        </w:tc>
        <w:tc>
          <w:tcPr/>
          <w:p>
            <w:pPr>
              <w:pStyle w:val="Compact"/>
            </w:pPr>
            <w:r>
              <w:t xml:space="preserve">공급자에 대한 품질 요구사항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QF-808-05</w:t>
            </w:r>
          </w:p>
        </w:tc>
        <w:tc>
          <w:tcPr/>
          <w:p>
            <w:pPr>
              <w:pStyle w:val="Compact"/>
            </w:pPr>
            <w:r>
              <w:t xml:space="preserve">SCAR (공급자 시정조치 요구서)</w:t>
            </w:r>
          </w:p>
        </w:tc>
        <w:tc>
          <w:tcPr/>
          <w:p>
            <w:pPr>
              <w:pStyle w:val="Compact"/>
            </w:pPr>
            <w:r>
              <w:t xml:space="preserve">공급자 부적합 시정조치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QF-808-06</w:t>
            </w:r>
          </w:p>
        </w:tc>
        <w:tc>
          <w:tcPr/>
          <w:p>
            <w:pPr>
              <w:pStyle w:val="Compact"/>
            </w:pPr>
            <w:r>
              <w:t xml:space="preserve">공급자 정기 재평가 보고서</w:t>
            </w:r>
          </w:p>
        </w:tc>
        <w:tc>
          <w:tcPr/>
          <w:p>
            <w:pPr>
              <w:pStyle w:val="Compact"/>
            </w:pPr>
            <w:r>
              <w:t xml:space="preserve">정기 재평가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QF-808-07</w:t>
            </w:r>
          </w:p>
        </w:tc>
        <w:tc>
          <w:tcPr/>
          <w:p>
            <w:pPr>
              <w:pStyle w:val="Compact"/>
            </w:pPr>
            <w:r>
              <w:t xml:space="preserve">특수공정 공급자 감사 체크리스트</w:t>
            </w:r>
          </w:p>
        </w:tc>
        <w:tc>
          <w:tcPr/>
          <w:p>
            <w:pPr>
              <w:pStyle w:val="Compact"/>
            </w:pPr>
            <w:r>
              <w:t xml:space="preserve">특수공정 공급자 감사 시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QF-808-08</w:t>
            </w:r>
          </w:p>
        </w:tc>
        <w:tc>
          <w:tcPr/>
          <w:p>
            <w:pPr>
              <w:pStyle w:val="Compact"/>
            </w:pPr>
            <w:r>
              <w:t xml:space="preserve">위조부품 조사 보고서</w:t>
            </w:r>
          </w:p>
        </w:tc>
        <w:tc>
          <w:tcPr/>
          <w:p>
            <w:pPr>
              <w:pStyle w:val="Compact"/>
            </w:pPr>
            <w:r>
              <w:t xml:space="preserve">위조/의심부품 발견 시 조사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QF-808-09</w:t>
            </w:r>
          </w:p>
        </w:tc>
        <w:tc>
          <w:tcPr/>
          <w:p>
            <w:pPr>
              <w:pStyle w:val="Compact"/>
            </w:pPr>
            <w:r>
              <w:t xml:space="preserve">공급자 성과 모니터링 보고서</w:t>
            </w:r>
          </w:p>
        </w:tc>
        <w:tc>
          <w:tcPr/>
          <w:p>
            <w:pPr>
              <w:pStyle w:val="Compact"/>
            </w:pPr>
            <w:r>
              <w:t xml:space="preserve">월간/분기 공급자 성과 집계</w:t>
            </w:r>
          </w:p>
        </w:tc>
      </w:tr>
    </w:tbl>
    <w:bookmarkEnd w:id="71"/>
    <w:bookmarkStart w:id="72" w:name="부록-a-발주서po-필수-기재-항목-체크리스트"/>
    <w:p>
      <w:pPr>
        <w:pStyle w:val="Heading2"/>
      </w:pPr>
      <w:r>
        <w:t xml:space="preserve">부록 A: 발주서(PO) 필수 기재 항목 체크리스트</w:t>
      </w:r>
    </w:p>
    <w:p>
      <w:pPr>
        <w:pStyle w:val="FirstParagraph"/>
      </w:pPr>
      <w:r>
        <w:t xml:space="preserve">발주서 작성 시 아래 항목의 기재 여부를 확인한다.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순번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필수/선택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품목명, 규격, 도면번호 및 개정판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수량 및 납기일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적용 사양/규격 (번호 및 Rev.)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검사/시험 요건 및 합격 기준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제출 서류 (CoC, 시험 성적서, Mill Cert 등)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핵심특성(KC) 식별 사항</w:t>
            </w:r>
          </w:p>
        </w:tc>
        <w:tc>
          <w:tcPr/>
          <w:p>
            <w:pPr>
              <w:pStyle w:val="Compact"/>
            </w:pPr>
            <w:r>
              <w:t xml:space="preserve">해당 시 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특수공정 사양 및 공정 파라미터</w:t>
            </w:r>
          </w:p>
        </w:tc>
        <w:tc>
          <w:tcPr/>
          <w:p>
            <w:pPr>
              <w:pStyle w:val="Compact"/>
            </w:pPr>
            <w:r>
              <w:t xml:space="preserve">해당 시 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위조부품 방지 요구사항</w:t>
            </w:r>
          </w:p>
        </w:tc>
        <w:tc>
          <w:tcPr/>
          <w:p>
            <w:pPr>
              <w:pStyle w:val="Compact"/>
            </w:pPr>
            <w:r>
              <w:t xml:space="preserve">필수 (전자부품/원자재)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변경 사전 통보 요구사항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부적합 통보 의무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추적성/로트 관리 요건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당사/고객/규제기관 접근권(Right of Access)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하위 공급자(Sub-Tier)까지 Flow-Down 요구사항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기록 보존 요건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고객 지정 특수 요구사항</w:t>
            </w:r>
          </w:p>
        </w:tc>
        <w:tc>
          <w:tcPr/>
          <w:p>
            <w:pPr>
              <w:pStyle w:val="Compact"/>
            </w:pPr>
            <w:r>
              <w:t xml:space="preserve">해당 시 필수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포장/운송/취급 요건</w:t>
            </w:r>
          </w:p>
        </w:tc>
        <w:tc>
          <w:tcPr/>
          <w:p>
            <w:pPr>
              <w:pStyle w:val="Compact"/>
            </w:pPr>
            <w:r>
              <w:t xml:space="preserve">해당 시 필수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72"/>
    <w:bookmarkStart w:id="73" w:name="부록-b-공급자-평가-흐름도-종합"/>
    <w:p>
      <w:pPr>
        <w:pStyle w:val="Heading2"/>
      </w:pPr>
      <w:r>
        <w:t xml:space="preserve">부록 B: 공급자 평가 흐름도 (종합)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A["공급자&lt;br/&gt;후보 탐색"] --&gt; B["서류&lt;br/&gt;평가"]</w:t>
      </w:r>
      <w:r>
        <w:br/>
      </w:r>
      <w:r>
        <w:rPr>
          <w:rStyle w:val="VerbatimChar"/>
        </w:rPr>
        <w:t xml:space="preserve">    B --&gt; C["현장감사&lt;br/&gt;(해당 시)"]</w:t>
      </w:r>
      <w:r>
        <w:br/>
      </w:r>
      <w:r>
        <w:rPr>
          <w:rStyle w:val="VerbatimChar"/>
        </w:rPr>
        <w:t xml:space="preserve">    C --&gt; D["ASL&lt;br/&gt;등재 승인"]</w:t>
      </w:r>
      <w:r>
        <w:br/>
      </w:r>
      <w:r>
        <w:rPr>
          <w:rStyle w:val="VerbatimChar"/>
        </w:rPr>
        <w:t xml:space="preserve">    D --&gt; asl_box</w:t>
      </w:r>
      <w:r>
        <w:br/>
      </w:r>
      <w:r>
        <w:br/>
      </w:r>
      <w:r>
        <w:rPr>
          <w:rStyle w:val="VerbatimChar"/>
        </w:rPr>
        <w:t xml:space="preserve">    subgraph asl_box ["ASL 등재 공급자"]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E["성과&lt;br/&gt;모니터링"] &lt;--&gt; F["정기 재평가&lt;br/&gt;(연 1회 이상)"]</w:t>
      </w:r>
      <w:r>
        <w:br/>
      </w:r>
      <w:r>
        <w:rPr>
          <w:rStyle w:val="VerbatimChar"/>
        </w:rPr>
        <w:t xml:space="preserve">        E --&gt; G["부적합&lt;br/&gt;→ SCAR"]</w:t>
      </w:r>
      <w:r>
        <w:br/>
      </w:r>
      <w:r>
        <w:rPr>
          <w:rStyle w:val="VerbatimChar"/>
        </w:rPr>
        <w:t xml:space="preserve">        F --&gt; H["등급 판정&lt;br/&gt;A/B/C/D/F"]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I["위조부품 방지&lt;br/&gt;OCM/공인유통 우선 → 수입검사 점검"]</w:t>
      </w:r>
      <w:r>
        <w:br/>
      </w:r>
      <w:r>
        <w:br/>
      </w:r>
      <w:r>
        <w:rPr>
          <w:rStyle w:val="VerbatimChar"/>
        </w:rPr>
        <w:t xml:space="preserve">    style asl_box fill:#f0f7ff,stroke:#2b6cb0,stroke-width:2px</w:t>
      </w:r>
      <w:r>
        <w:br/>
      </w:r>
      <w:r>
        <w:rPr>
          <w:rStyle w:val="VerbatimChar"/>
        </w:rPr>
        <w:t xml:space="preserve">    style I fill:#fff8e1,stroke:#e6a817,stroke-width:1.5px</w:t>
      </w:r>
    </w:p>
    <w:p>
      <w:pPr>
        <w:pStyle w:val="FirstParagraph"/>
      </w:pPr>
      <w:r>
        <w:rPr>
          <w:b/>
          <w:bCs/>
        </w:rPr>
        <w:t xml:space="preserve">문서 끝 (End of Document)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페이지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본문 + 부록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범위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구매팀, 품질팀, 생산팀, 개발팀, 생산계획팀, 경영진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구분</w:t>
            </w:r>
          </w:p>
        </w:tc>
        <w:tc>
          <w:tcPr/>
          <w:p>
            <w:pPr>
              <w:pStyle w:val="Compact"/>
            </w:pPr>
            <w:r>
              <w:t xml:space="preserve">관리본 (Controlled Copy)</w:t>
            </w:r>
          </w:p>
        </w:tc>
      </w:tr>
    </w:tbl>
    <w:bookmarkEnd w:id="73"/>
    <w:bookmarkEnd w:id="7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외부공급자 선정/평가/관리 절차서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외부공급자 선정/평가/관리 절차서</w:t>
    </w:r>
    <w:r>
      <w:tab/>
    </w:r>
    <w:r>
      <w:rPr>
        <w:sz w:val="18"/>
      </w:rPr>
      <w:t>QP-808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abstractNum w:abstractNumId="99737">
    <w:nsid w:val="00A99737"/>
    <w:multiLevelType w:val="multilevel"/>
    <w:lvl w:ilvl="0">
      <w:start w:val="7"/>
      <w:numFmt w:val="lowerLetter"/>
      <w:lvlText w:val="(%1)"/>
      <w:lvlJc w:val="left"/>
      <w:pPr>
        <w:ind w:left="720" w:hanging="360"/>
      </w:pPr>
    </w:lvl>
    <w:lvl w:ilvl="1">
      <w:start w:val="7"/>
      <w:numFmt w:val="lowerLetter"/>
      <w:lvlText w:val="(%2)"/>
      <w:lvlJc w:val="left"/>
      <w:pPr>
        <w:ind w:left="1440" w:hanging="360"/>
      </w:pPr>
    </w:lvl>
    <w:lvl w:ilvl="2">
      <w:start w:val="7"/>
      <w:numFmt w:val="lowerLetter"/>
      <w:lvlText w:val="(%3)"/>
      <w:lvlJc w:val="left"/>
      <w:pPr>
        <w:ind w:left="2160" w:hanging="360"/>
      </w:pPr>
    </w:lvl>
    <w:lvl w:ilvl="3">
      <w:start w:val="7"/>
      <w:numFmt w:val="lowerLetter"/>
      <w:lvlText w:val="(%4)"/>
      <w:lvlJc w:val="left"/>
      <w:pPr>
        <w:ind w:left="2880" w:hanging="360"/>
      </w:pPr>
    </w:lvl>
    <w:lvl w:ilvl="4">
      <w:start w:val="7"/>
      <w:numFmt w:val="lowerLetter"/>
      <w:lvlText w:val="(%5)"/>
      <w:lvlJc w:val="left"/>
      <w:pPr>
        <w:ind w:left="3600" w:hanging="360"/>
      </w:pPr>
    </w:lvl>
    <w:lvl w:ilvl="5">
      <w:start w:val="7"/>
      <w:numFmt w:val="lowerLetter"/>
      <w:lvlText w:val="(%6)"/>
      <w:lvlJc w:val="left"/>
      <w:pPr>
        <w:ind w:left="4320" w:hanging="360"/>
      </w:pPr>
    </w:lvl>
    <w:lvl w:ilvl="6">
      <w:start w:val="7"/>
      <w:numFmt w:val="lowerLetter"/>
      <w:lvlText w:val="(%7)"/>
      <w:lvlJc w:val="left"/>
      <w:pPr>
        <w:ind w:left="5040" w:hanging="360"/>
      </w:pPr>
    </w:lvl>
    <w:lvl w:ilvl="7">
      <w:start w:val="7"/>
      <w:numFmt w:val="lowerLetter"/>
      <w:lvlText w:val="(%8)"/>
      <w:lvlJc w:val="left"/>
      <w:pPr>
        <w:ind w:left="5760" w:hanging="360"/>
      </w:pPr>
    </w:lvl>
    <w:lvl w:ilvl="8">
      <w:start w:val="7"/>
      <w:numFmt w:val="lowerLetter"/>
      <w:lvlText w:val="(%9)"/>
      <w:lvlJc w:val="left"/>
      <w:pPr>
        <w:ind w:left="6480" w:hanging="360"/>
      </w:pPr>
    </w:lvl>
  </w:abstractNum>
  <w:abstractNum w:abstractNumId="99738">
    <w:nsid w:val="00A99738"/>
    <w:multiLevelType w:val="multilevel"/>
    <w:lvl w:ilvl="0">
      <w:start w:val="8"/>
      <w:numFmt w:val="lowerLetter"/>
      <w:lvlText w:val="(%1)"/>
      <w:lvlJc w:val="left"/>
      <w:pPr>
        <w:ind w:left="720" w:hanging="360"/>
      </w:pPr>
    </w:lvl>
    <w:lvl w:ilvl="1">
      <w:start w:val="8"/>
      <w:numFmt w:val="lowerLetter"/>
      <w:lvlText w:val="(%2)"/>
      <w:lvlJc w:val="left"/>
      <w:pPr>
        <w:ind w:left="1440" w:hanging="360"/>
      </w:pPr>
    </w:lvl>
    <w:lvl w:ilvl="2">
      <w:start w:val="8"/>
      <w:numFmt w:val="lowerLetter"/>
      <w:lvlText w:val="(%3)"/>
      <w:lvlJc w:val="left"/>
      <w:pPr>
        <w:ind w:left="2160" w:hanging="360"/>
      </w:pPr>
    </w:lvl>
    <w:lvl w:ilvl="3">
      <w:start w:val="8"/>
      <w:numFmt w:val="lowerLetter"/>
      <w:lvlText w:val="(%4)"/>
      <w:lvlJc w:val="left"/>
      <w:pPr>
        <w:ind w:left="2880" w:hanging="360"/>
      </w:pPr>
    </w:lvl>
    <w:lvl w:ilvl="4">
      <w:start w:val="8"/>
      <w:numFmt w:val="lowerLetter"/>
      <w:lvlText w:val="(%5)"/>
      <w:lvlJc w:val="left"/>
      <w:pPr>
        <w:ind w:left="3600" w:hanging="360"/>
      </w:pPr>
    </w:lvl>
    <w:lvl w:ilvl="5">
      <w:start w:val="8"/>
      <w:numFmt w:val="lowerLetter"/>
      <w:lvlText w:val="(%6)"/>
      <w:lvlJc w:val="left"/>
      <w:pPr>
        <w:ind w:left="4320" w:hanging="360"/>
      </w:pPr>
    </w:lvl>
    <w:lvl w:ilvl="6">
      <w:start w:val="8"/>
      <w:numFmt w:val="lowerLetter"/>
      <w:lvlText w:val="(%7)"/>
      <w:lvlJc w:val="left"/>
      <w:pPr>
        <w:ind w:left="5040" w:hanging="360"/>
      </w:pPr>
    </w:lvl>
    <w:lvl w:ilvl="7">
      <w:start w:val="8"/>
      <w:numFmt w:val="lowerLetter"/>
      <w:lvlText w:val="(%8)"/>
      <w:lvlJc w:val="left"/>
      <w:pPr>
        <w:ind w:left="5760" w:hanging="360"/>
      </w:pPr>
    </w:lvl>
    <w:lvl w:ilvl="8">
      <w:start w:val="8"/>
      <w:numFmt w:val="lowerLetter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10">
    <w:nsid w:val="0A997310"/>
    <w:multiLevelType w:val="multilevel"/>
    <w:lvl w:ilvl="0">
      <w:start w:val="10"/>
      <w:numFmt w:val="lowerLetter"/>
      <w:lvlText w:val="(%1)"/>
      <w:lvlJc w:val="left"/>
      <w:pPr>
        <w:ind w:left="720" w:hanging="360"/>
      </w:pPr>
    </w:lvl>
    <w:lvl w:ilvl="1">
      <w:start w:val="10"/>
      <w:numFmt w:val="lowerLetter"/>
      <w:lvlText w:val="(%2)"/>
      <w:lvlJc w:val="left"/>
      <w:pPr>
        <w:ind w:left="1440" w:hanging="360"/>
      </w:pPr>
    </w:lvl>
    <w:lvl w:ilvl="2">
      <w:start w:val="10"/>
      <w:numFmt w:val="lowerLetter"/>
      <w:lvlText w:val="(%3)"/>
      <w:lvlJc w:val="left"/>
      <w:pPr>
        <w:ind w:left="2160" w:hanging="360"/>
      </w:pPr>
    </w:lvl>
    <w:lvl w:ilvl="3">
      <w:start w:val="10"/>
      <w:numFmt w:val="lowerLetter"/>
      <w:lvlText w:val="(%4)"/>
      <w:lvlJc w:val="left"/>
      <w:pPr>
        <w:ind w:left="2880" w:hanging="360"/>
      </w:pPr>
    </w:lvl>
    <w:lvl w:ilvl="4">
      <w:start w:val="10"/>
      <w:numFmt w:val="lowerLetter"/>
      <w:lvlText w:val="(%5)"/>
      <w:lvlJc w:val="left"/>
      <w:pPr>
        <w:ind w:left="3600" w:hanging="360"/>
      </w:pPr>
    </w:lvl>
    <w:lvl w:ilvl="5">
      <w:start w:val="10"/>
      <w:numFmt w:val="lowerLetter"/>
      <w:lvlText w:val="(%6)"/>
      <w:lvlJc w:val="left"/>
      <w:pPr>
        <w:ind w:left="4320" w:hanging="360"/>
      </w:pPr>
    </w:lvl>
    <w:lvl w:ilvl="6">
      <w:start w:val="10"/>
      <w:numFmt w:val="lowerLetter"/>
      <w:lvlText w:val="(%7)"/>
      <w:lvlJc w:val="left"/>
      <w:pPr>
        <w:ind w:left="5040" w:hanging="360"/>
      </w:pPr>
    </w:lvl>
    <w:lvl w:ilvl="7">
      <w:start w:val="10"/>
      <w:numFmt w:val="lowerLetter"/>
      <w:lvlText w:val="(%8)"/>
      <w:lvlJc w:val="left"/>
      <w:pPr>
        <w:ind w:left="5760" w:hanging="360"/>
      </w:pPr>
    </w:lvl>
    <w:lvl w:ilvl="8">
      <w:start w:val="10"/>
      <w:numFmt w:val="lowerLetter"/>
      <w:lvlText w:val="(%9)"/>
      <w:lvlJc w:val="left"/>
      <w:pPr>
        <w:ind w:left="6480" w:hanging="360"/>
      </w:pPr>
    </w:lvl>
  </w:abstractNum>
  <w:abstractNum w:abstractNumId="997311">
    <w:nsid w:val="0A997311"/>
    <w:multiLevelType w:val="multilevel"/>
    <w:lvl w:ilvl="0">
      <w:start w:val="11"/>
      <w:numFmt w:val="lowerLetter"/>
      <w:lvlText w:val="(%1)"/>
      <w:lvlJc w:val="left"/>
      <w:pPr>
        <w:ind w:left="720" w:hanging="360"/>
      </w:pPr>
    </w:lvl>
    <w:lvl w:ilvl="1">
      <w:start w:val="11"/>
      <w:numFmt w:val="lowerLetter"/>
      <w:lvlText w:val="(%2)"/>
      <w:lvlJc w:val="left"/>
      <w:pPr>
        <w:ind w:left="1440" w:hanging="360"/>
      </w:pPr>
    </w:lvl>
    <w:lvl w:ilvl="2">
      <w:start w:val="11"/>
      <w:numFmt w:val="lowerLetter"/>
      <w:lvlText w:val="(%3)"/>
      <w:lvlJc w:val="left"/>
      <w:pPr>
        <w:ind w:left="2160" w:hanging="360"/>
      </w:pPr>
    </w:lvl>
    <w:lvl w:ilvl="3">
      <w:start w:val="11"/>
      <w:numFmt w:val="lowerLetter"/>
      <w:lvlText w:val="(%4)"/>
      <w:lvlJc w:val="left"/>
      <w:pPr>
        <w:ind w:left="2880" w:hanging="360"/>
      </w:pPr>
    </w:lvl>
    <w:lvl w:ilvl="4">
      <w:start w:val="11"/>
      <w:numFmt w:val="lowerLetter"/>
      <w:lvlText w:val="(%5)"/>
      <w:lvlJc w:val="left"/>
      <w:pPr>
        <w:ind w:left="3600" w:hanging="360"/>
      </w:pPr>
    </w:lvl>
    <w:lvl w:ilvl="5">
      <w:start w:val="11"/>
      <w:numFmt w:val="lowerLetter"/>
      <w:lvlText w:val="(%6)"/>
      <w:lvlJc w:val="left"/>
      <w:pPr>
        <w:ind w:left="4320" w:hanging="360"/>
      </w:pPr>
    </w:lvl>
    <w:lvl w:ilvl="6">
      <w:start w:val="11"/>
      <w:numFmt w:val="lowerLetter"/>
      <w:lvlText w:val="(%7)"/>
      <w:lvlJc w:val="left"/>
      <w:pPr>
        <w:ind w:left="5040" w:hanging="360"/>
      </w:pPr>
    </w:lvl>
    <w:lvl w:ilvl="7">
      <w:start w:val="11"/>
      <w:numFmt w:val="lowerLetter"/>
      <w:lvlText w:val="(%8)"/>
      <w:lvlJc w:val="left"/>
      <w:pPr>
        <w:ind w:left="5760" w:hanging="360"/>
      </w:pPr>
    </w:lvl>
    <w:lvl w:ilvl="8">
      <w:start w:val="11"/>
      <w:numFmt w:val="lowerLetter"/>
      <w:lvlText w:val="(%9)"/>
      <w:lvlJc w:val="left"/>
      <w:pPr>
        <w:ind w:left="6480" w:hanging="360"/>
      </w:pPr>
    </w:lvl>
  </w:abstractNum>
  <w:abstractNum w:abstractNumId="997312">
    <w:nsid w:val="0A997312"/>
    <w:multiLevelType w:val="multilevel"/>
    <w:lvl w:ilvl="0">
      <w:start w:val="12"/>
      <w:numFmt w:val="lowerLetter"/>
      <w:lvlText w:val="(%1)"/>
      <w:lvlJc w:val="left"/>
      <w:pPr>
        <w:ind w:left="720" w:hanging="360"/>
      </w:pPr>
    </w:lvl>
    <w:lvl w:ilvl="1">
      <w:start w:val="12"/>
      <w:numFmt w:val="lowerLetter"/>
      <w:lvlText w:val="(%2)"/>
      <w:lvlJc w:val="left"/>
      <w:pPr>
        <w:ind w:left="1440" w:hanging="360"/>
      </w:pPr>
    </w:lvl>
    <w:lvl w:ilvl="2">
      <w:start w:val="12"/>
      <w:numFmt w:val="lowerLetter"/>
      <w:lvlText w:val="(%3)"/>
      <w:lvlJc w:val="left"/>
      <w:pPr>
        <w:ind w:left="2160" w:hanging="360"/>
      </w:pPr>
    </w:lvl>
    <w:lvl w:ilvl="3">
      <w:start w:val="12"/>
      <w:numFmt w:val="lowerLetter"/>
      <w:lvlText w:val="(%4)"/>
      <w:lvlJc w:val="left"/>
      <w:pPr>
        <w:ind w:left="2880" w:hanging="360"/>
      </w:pPr>
    </w:lvl>
    <w:lvl w:ilvl="4">
      <w:start w:val="12"/>
      <w:numFmt w:val="lowerLetter"/>
      <w:lvlText w:val="(%5)"/>
      <w:lvlJc w:val="left"/>
      <w:pPr>
        <w:ind w:left="3600" w:hanging="360"/>
      </w:pPr>
    </w:lvl>
    <w:lvl w:ilvl="5">
      <w:start w:val="12"/>
      <w:numFmt w:val="lowerLetter"/>
      <w:lvlText w:val="(%6)"/>
      <w:lvlJc w:val="left"/>
      <w:pPr>
        <w:ind w:left="4320" w:hanging="360"/>
      </w:pPr>
    </w:lvl>
    <w:lvl w:ilvl="6">
      <w:start w:val="12"/>
      <w:numFmt w:val="lowerLetter"/>
      <w:lvlText w:val="(%7)"/>
      <w:lvlJc w:val="left"/>
      <w:pPr>
        <w:ind w:left="5040" w:hanging="360"/>
      </w:pPr>
    </w:lvl>
    <w:lvl w:ilvl="7">
      <w:start w:val="12"/>
      <w:numFmt w:val="lowerLetter"/>
      <w:lvlText w:val="(%8)"/>
      <w:lvlJc w:val="left"/>
      <w:pPr>
        <w:ind w:left="5760" w:hanging="360"/>
      </w:pPr>
    </w:lvl>
    <w:lvl w:ilvl="8">
      <w:start w:val="1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7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0">
    <w:abstractNumId w:val="997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1">
    <w:abstractNumId w:val="997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외부공급자 선정/평가/관리 절차서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QP-808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