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인도 후 활동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QP-815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인도 후 활동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8b0da6be5a8d791b384086f1cca2660debf427a">
        <w:r>
          <w:rPr>
            <w:rStyle w:val="Hyperlink"/>
          </w:rPr>
          <w:t xml:space="preserve">인도 후 활동 범위</w:t>
        </w:r>
      </w:hyperlink>
    </w:p>
    <w:p>
      <w:pPr>
        <w:pStyle w:val="Compact"/>
        <w:numPr>
          <w:ilvl w:val="0"/>
          <w:numId w:val="1001"/>
        </w:numPr>
      </w:pPr>
      <w:hyperlink w:anchor="Xb463d4aa08d1c2e096a8b13e5d83166d6af5ab6">
        <w:r>
          <w:rPr>
            <w:rStyle w:val="Hyperlink"/>
          </w:rPr>
          <w:t xml:space="preserve">고객 불만 접수 및 처리</w:t>
        </w:r>
      </w:hyperlink>
    </w:p>
    <w:p>
      <w:pPr>
        <w:pStyle w:val="Compact"/>
        <w:numPr>
          <w:ilvl w:val="0"/>
          <w:numId w:val="1001"/>
        </w:numPr>
      </w:pPr>
      <w:hyperlink w:anchor="Xe316b72d5cf5f3465b4a44e86e46fe88e3fcba0">
        <w:r>
          <w:rPr>
            <w:rStyle w:val="Hyperlink"/>
          </w:rPr>
          <w:t xml:space="preserve">현장 반품 처리 (RMA)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VINA에서 제품 인도 후 수행하는 활동(보증, 기술지원, 유지보수정보 제공, 스페어파트 공급, 반품 처리 등)에 관한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8.5.5 요구사항에 따른 인도 후 활동의 체계적 관리</w:t>
      </w:r>
      <w:r>
        <w:t xml:space="preserve"> </w:t>
      </w:r>
      <w:r>
        <w:t xml:space="preserve">- 고객 불만 및 현장 반품(RMA)의 신속·체계적 처리</w:t>
      </w:r>
      <w:r>
        <w:t xml:space="preserve"> </w:t>
      </w:r>
      <w:r>
        <w:t xml:space="preserve">- 항공우주 분야 특수 의무(감항성 정보, 서비스 불리틴, 안전 통보 등) 이행</w:t>
      </w:r>
      <w:r>
        <w:t xml:space="preserve"> </w:t>
      </w:r>
      <w:r>
        <w:t xml:space="preserve">- 인도 후 활동 데이터를 품질 개선에 피드백하는 체계 확립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VINA가 고객에게 인도한 모든 제품에 대한 인도 후 활동에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41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보증 (Warranty)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계약에 명시된 보증 기간 내 품질 보증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기술지원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고객의 기술 문의 응대, 설치/사용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 정보</w:t>
            </w:r>
          </w:p>
        </w:tc>
        <w:tc>
          <w:tcPr/>
          <w:p>
            <w:pPr>
              <w:pStyle w:val="Compact"/>
            </w:pPr>
            <w:r>
              <w:t xml:space="preserve">유지보수 매뉴얼, 정비 지침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스페어파트 공급</w:t>
            </w:r>
          </w:p>
        </w:tc>
        <w:tc>
          <w:tcPr>
            <w:tcW w:w="624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교체 부품, 수리 부품 공급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처리</w:t>
            </w:r>
          </w:p>
        </w:tc>
        <w:tc>
          <w:tcPr/>
          <w:p>
            <w:pPr>
              <w:pStyle w:val="Compact"/>
            </w:pPr>
            <w:r>
              <w:t xml:space="preserve">제품 품질 관련 고객 불만 접수 및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반품 (RMA)</w:t>
            </w:r>
          </w:p>
        </w:tc>
        <w:tc>
          <w:tcPr/>
          <w:p>
            <w:pPr>
              <w:pStyle w:val="Compact"/>
            </w:pPr>
            <w:r>
              <w:t xml:space="preserve">불량/결함 제품의 반환 접수 및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감항성/안전 통보</w:t>
            </w:r>
          </w:p>
        </w:tc>
        <w:tc>
          <w:tcPr/>
          <w:p>
            <w:pPr>
              <w:pStyle w:val="Compact"/>
            </w:pPr>
            <w:r>
              <w:t xml:space="preserve">항공우주 안전 관련 즉시 통보 (해당 시)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제외</w:t>
      </w:r>
      <w:r>
        <w:t xml:space="preserve">: 고객과의 계약에서 인도 후 활동이 명시적으로 제외된 경우에는 해당 항목을 적용하지 않는다. 단, 안전 관련 통보 의무는 계약 조건과 관계없이 적용한다.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9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(8.5.5항)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(8.5.5항)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 Part 21</w:t>
            </w:r>
          </w:p>
        </w:tc>
        <w:tc>
          <w:tcPr/>
          <w:p>
            <w:pPr>
              <w:pStyle w:val="Compact"/>
            </w:pPr>
            <w:r>
              <w:t xml:space="preserve">제품 및 부품 인증 절차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EASA Part 21</w:t>
            </w:r>
          </w:p>
        </w:tc>
        <w:tc>
          <w:tcPr>
            <w:tcW w:w="6495" w:type="dxa"/>
          </w:tcPr>
          <w:p>
            <w:pPr>
              <w:pStyle w:val="Compact"/>
            </w:pPr>
            <w:r>
              <w:t xml:space="preserve">항공기 제품/부품/장비 인증 (해당 시)</w:t>
            </w:r>
          </w:p>
        </w:tc>
      </w:tr>
      <w:tr>
        <w:tc>
          <w:tcPr>
            <w:tcW w:w="2293" w:type="dxa"/>
          </w:tcPr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§8.5.5 인도 후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QP-902</w:t>
            </w:r>
          </w:p>
        </w:tc>
        <w:tc>
          <w:tcPr/>
          <w:p>
            <w:pPr>
              <w:pStyle w:val="Compact"/>
            </w:pPr>
            <w:r>
              <w:t xml:space="preserve">고객 만족도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인도 후 활동 (Post-Delivery Activities)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제품을 고객에게 인도한 후 수행하는 모든 활동. 보증, 기술지원, 유지보수, 반품 처리, 안전 통보 등을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보증 (Warranty)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계약에 의해 제조자가 제품의 품질을 일정 기간 보장하는 약정. 보증 기간 내 결함에 대해 수리, 교환 또는 환불을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 (Return Material Authorization)</w:t>
            </w:r>
          </w:p>
        </w:tc>
        <w:tc>
          <w:tcPr/>
          <w:p>
            <w:pPr>
              <w:pStyle w:val="Compact"/>
            </w:pPr>
            <w:r>
              <w:t xml:space="preserve">반품 승인 — 고객이 불량/결함 제품을 제조자에게 반환하기 위해 사전 승인을 받는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감항성 (Airworthiness)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항공기 또는 항공기 부품이 안전하게 비행할 수 있는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불리틴 (Service Bulletin, SB)</w:t>
            </w:r>
          </w:p>
        </w:tc>
        <w:tc>
          <w:tcPr/>
          <w:p>
            <w:pPr>
              <w:pStyle w:val="Compact"/>
            </w:pPr>
            <w:r>
              <w:t xml:space="preserve">제조자가 발행하는 기술 통보로, 제품의 개선, 수정 또는 검사를 권고하는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감항성 지시 (Airworthiness Directive, AD)</w:t>
            </w:r>
          </w:p>
        </w:tc>
        <w:tc>
          <w:tcPr/>
          <w:p>
            <w:pPr>
              <w:pStyle w:val="Compact"/>
            </w:pPr>
            <w:r>
              <w:t xml:space="preserve">항공 당국이 발행하는 의무적 시정 조치 지시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(Customer Complaint)</w:t>
            </w:r>
          </w:p>
        </w:tc>
        <w:tc>
          <w:tcPr/>
          <w:p>
            <w:pPr>
              <w:pStyle w:val="Compact"/>
            </w:pPr>
            <w:r>
              <w:t xml:space="preserve">고객이 제품 또는 서비스의 품질, 성능, 납기 등에 대해 표명하는 불만족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 불량 (Field Failure)</w:t>
            </w:r>
          </w:p>
        </w:tc>
        <w:tc>
          <w:tcPr/>
          <w:p>
            <w:pPr>
              <w:pStyle w:val="Compact"/>
            </w:pPr>
            <w:r>
              <w:t xml:space="preserve">고객 현장에서 사용 중 발생한 제품 결함/고장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MTBF (Mean Time Between Failures)</w:t>
            </w:r>
          </w:p>
        </w:tc>
        <w:tc>
          <w:tcPr/>
          <w:p>
            <w:pPr>
              <w:pStyle w:val="Compact"/>
            </w:pPr>
            <w:r>
              <w:t xml:space="preserve">평균 고장 간격 — 제품의 신뢰성을 나타내는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근본 원인 분석 — 불량/결함의 근본적 발생 원인을 규명하는 체계적 분석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인도 후 활동 관리 체계 총괄; 안전 관련 통보 최종 결정; 고객 불만 대응 총괄; 시정조치 효과성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 접수 및 추적 관리; RMA 반품 분석 주관; 불만 데이터 분석 및 경영검토 입력; CAR 발행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 담당자</w:t>
            </w:r>
          </w:p>
        </w:tc>
        <w:tc>
          <w:tcPr/>
          <w:p>
            <w:pPr>
              <w:pStyle w:val="Compact"/>
            </w:pPr>
            <w:r>
              <w:t xml:space="preserve">고객 불만 접수 창구; 보증 조건 확인; 고객 통보/소통; RMA 번호 발행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기술부서장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반품 불량 분석 기술 지원; 근본 원인 분석; 서비스 불리틴 작성; 기술 문의 응대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생산부서장</w:t>
            </w:r>
          </w:p>
        </w:tc>
        <w:tc>
          <w:tcPr/>
          <w:p>
            <w:pPr>
              <w:pStyle w:val="Compact"/>
            </w:pPr>
            <w:r>
              <w:t xml:space="preserve">재작업/교환품 생산; 불량 원인 관련 공정 개선; 스페어파트 생산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자재/창고 담당자</w:t>
            </w:r>
          </w:p>
        </w:tc>
        <w:tc>
          <w:tcPr/>
          <w:p>
            <w:pPr>
              <w:pStyle w:val="Compact"/>
            </w:pPr>
            <w:r>
              <w:t xml:space="preserve">RMA 반품 입고 및 보관; 스페어파트 재고 관리; 교환품 출하</w:t>
            </w:r>
          </w:p>
        </w:tc>
      </w:tr>
    </w:tbl>
    <w:bookmarkEnd w:id="18"/>
    <w:bookmarkStart w:id="21" w:name="인도-후-활동-범위"/>
    <w:p>
      <w:pPr>
        <w:pStyle w:val="Heading1"/>
      </w:pPr>
      <w:r>
        <w:t xml:space="preserve">6. 인도 후 활동 범위</w:t>
      </w:r>
    </w:p>
    <w:bookmarkStart w:id="19" w:name="활동-유형별-상세"/>
    <w:p>
      <w:pPr>
        <w:pStyle w:val="Heading2"/>
      </w:pPr>
      <w:r>
        <w:t xml:space="preserve">6.1 활동 유형별 상세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대응 기한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보증 (Warranty)</w:t>
            </w:r>
          </w:p>
        </w:tc>
        <w:tc>
          <w:tcPr/>
          <w:p>
            <w:pPr>
              <w:pStyle w:val="Compact"/>
            </w:pPr>
            <w:r>
              <w:t xml:space="preserve">보증 기간 내 제조 결함에 대한 무상 수리/교환/환불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계약에 따름 (일반: 접수 후 30일 이내 처리)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기술지원</w:t>
            </w:r>
          </w:p>
        </w:tc>
        <w:tc>
          <w:tcPr/>
          <w:p>
            <w:pPr>
              <w:pStyle w:val="Compact"/>
            </w:pPr>
            <w:r>
              <w:t xml:space="preserve">제품 설치, 사용, 정비에 관한 기술 문의 응대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접수 후 3영업일 이내 초기 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유지보수 정보 제공</w:t>
            </w:r>
          </w:p>
        </w:tc>
        <w:tc>
          <w:tcPr/>
          <w:p>
            <w:pPr>
              <w:pStyle w:val="Compact"/>
            </w:pPr>
            <w:r>
              <w:t xml:space="preserve">정비 매뉴얼, 정비 주기, 교체 부품 정보 제공</w:t>
            </w:r>
          </w:p>
        </w:tc>
        <w:tc>
          <w:tcPr/>
          <w:p>
            <w:pPr>
              <w:pStyle w:val="Compact"/>
            </w:pPr>
            <w:r>
              <w:t xml:space="preserve">고객 요청 시 10영업일 이내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스페어파트 공급</w:t>
            </w:r>
          </w:p>
        </w:tc>
        <w:tc>
          <w:tcPr/>
          <w:p>
            <w:pPr>
              <w:pStyle w:val="Compact"/>
            </w:pPr>
            <w:r>
              <w:t xml:space="preserve">교체 부품, 수리용 부품 공급</w:t>
            </w:r>
          </w:p>
        </w:tc>
        <w:tc>
          <w:tcPr/>
          <w:p>
            <w:pPr>
              <w:pStyle w:val="Compact"/>
            </w:pPr>
            <w:r>
              <w:t xml:space="preserve">계약에 따름 (일반: 발주 후 4주 이내)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 불만 처리</w:t>
            </w:r>
          </w:p>
        </w:tc>
        <w:tc>
          <w:tcPr/>
          <w:p>
            <w:pPr>
              <w:pStyle w:val="Compact"/>
            </w:pPr>
            <w:r>
              <w:t xml:space="preserve">품질/성능/납기 관련 고객 불만 접수 및 해결</w:t>
            </w:r>
          </w:p>
        </w:tc>
        <w:tc>
          <w:tcPr/>
          <w:p>
            <w:pPr>
              <w:pStyle w:val="Compact"/>
            </w:pPr>
            <w:r>
              <w:t xml:space="preserve">7절 참조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RMA 반품 처리</w:t>
            </w:r>
          </w:p>
        </w:tc>
        <w:tc>
          <w:tcPr/>
          <w:p>
            <w:pPr>
              <w:pStyle w:val="Compact"/>
            </w:pPr>
            <w:r>
              <w:t xml:space="preserve">불량/결함 제품 반환 접수 및 분석/처리</w:t>
            </w:r>
          </w:p>
        </w:tc>
        <w:tc>
          <w:tcPr/>
          <w:p>
            <w:pPr>
              <w:pStyle w:val="Compact"/>
            </w:pPr>
            <w:r>
              <w:t xml:space="preserve">8절 참조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안전/감항성 통보</w:t>
            </w:r>
          </w:p>
        </w:tc>
        <w:tc>
          <w:tcPr/>
          <w:p>
            <w:pPr>
              <w:pStyle w:val="Compact"/>
            </w:pPr>
            <w:r>
              <w:t xml:space="preserve">안전 관련 즉시 통보 의무 이행</w:t>
            </w:r>
          </w:p>
        </w:tc>
        <w:tc>
          <w:tcPr/>
          <w:p>
            <w:pPr>
              <w:pStyle w:val="Compact"/>
            </w:pPr>
            <w:r>
              <w:t xml:space="preserve">9절 참조 (즉시)</w:t>
            </w:r>
          </w:p>
        </w:tc>
      </w:tr>
    </w:tbl>
    <w:bookmarkEnd w:id="19"/>
    <w:bookmarkStart w:id="20" w:name="인도-후-활동-결정-시-고려-사항"/>
    <w:p>
      <w:pPr>
        <w:pStyle w:val="Heading2"/>
      </w:pPr>
      <w:r>
        <w:t xml:space="preserve">6.2 인도 후 활동 결정 시 고려 사항</w:t>
      </w:r>
    </w:p>
    <w:p>
      <w:pPr>
        <w:pStyle w:val="FirstParagraph"/>
      </w:pPr>
      <w:r>
        <w:t xml:space="preserve">AS9100D 8.5.5에 따라 인도 후 활동의 범위를 결정할 때 다음 사항을 고려한다: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고려 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법적/규제 요구사항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 당국(FAA, EASA, CAAV 등)의 감항성 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관련 잠재적 원하지 않는 결과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위험, 환경 영향, 재산 피해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제품의 성질, 용도 및 수명</w:t>
            </w:r>
          </w:p>
        </w:tc>
        <w:tc>
          <w:tcPr/>
          <w:p>
            <w:pPr>
              <w:pStyle w:val="Compact"/>
            </w:pPr>
            <w:r>
              <w:t xml:space="preserve">항공우주 부품의 중요도, 사용 환경, 예상 수명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요구사항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계약에 명시된 인도 후 지원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피드백</w:t>
            </w:r>
          </w:p>
        </w:tc>
        <w:tc>
          <w:tcPr/>
          <w:p>
            <w:pPr>
              <w:pStyle w:val="Compact"/>
            </w:pPr>
            <w:r>
              <w:t xml:space="preserve">과거 불만/반품 이력, 고객 만족도 조사 결과</w:t>
            </w:r>
          </w:p>
        </w:tc>
      </w:tr>
    </w:tbl>
    <w:bookmarkEnd w:id="20"/>
    <w:bookmarkEnd w:id="21"/>
    <w:bookmarkStart w:id="26" w:name="고객-불만-접수-및-처리"/>
    <w:p>
      <w:pPr>
        <w:pStyle w:val="Heading1"/>
      </w:pPr>
      <w:r>
        <w:t xml:space="preserve">7. 고객 불만 접수 및 처리</w:t>
      </w:r>
    </w:p>
    <w:bookmarkStart w:id="22" w:name="고객-불만-접수"/>
    <w:p>
      <w:pPr>
        <w:pStyle w:val="Heading2"/>
      </w:pPr>
      <w:r>
        <w:t xml:space="preserve">7.1 고객 불만 접수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접수 채널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 담당자 또는 품질팀 이메일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 담당자 또는 대표전화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공문</w:t>
            </w:r>
          </w:p>
        </w:tc>
        <w:tc>
          <w:tcPr/>
          <w:p>
            <w:pPr>
              <w:pStyle w:val="Compact"/>
            </w:pPr>
            <w:r>
              <w:t xml:space="preserve">고객 공식 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포털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고객사 품질 관리 시스템 (해당 시)</w:t>
            </w:r>
          </w:p>
        </w:tc>
      </w:tr>
    </w:tbl>
    <w:p>
      <w:pPr>
        <w:pStyle w:val="BodyText"/>
      </w:pPr>
      <w:r>
        <w:t xml:space="preserve">모든 고객 불만은 접수 후</w:t>
      </w:r>
      <w:r>
        <w:t xml:space="preserve"> </w:t>
      </w:r>
      <w:r>
        <w:rPr>
          <w:b/>
          <w:bCs/>
        </w:rPr>
        <w:t xml:space="preserve">24시간 이내</w:t>
      </w:r>
      <w:r>
        <w:t xml:space="preserve">에 접수 확인을 고객에게 회신한다.</w:t>
      </w:r>
    </w:p>
    <w:bookmarkEnd w:id="22"/>
    <w:bookmarkStart w:id="23" w:name="고객-불만-처리-절차"/>
    <w:p>
      <w:pPr>
        <w:pStyle w:val="Heading2"/>
      </w:pPr>
      <w:r>
        <w:t xml:space="preserve">7.2 고객 불만 처리 절차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불만 접수 (영업 담당자)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접수 등록 — 고객 불만 대장 (QF-815-01) 기록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접수 확인 회신 (24시간 이내)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초기 분류 (품질팀장)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품질 불량 → 불량 분석 (기술부서)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납기 지연 → 영업/생산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사양 불일치 → 기술부서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 안전 관련 → 즉시 QMR 보고 → 9절 참조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원인 분석 (Root Cause Analysis)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반품 분석 (해당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공정 데이터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추적성 조사 (QP-812)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시정조치 수립 (QP-1001 연계)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즉시 대응 (봉쇄 조치, 교환/수리 등)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재발 방지 대책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회신 — 원인 분석 결과 및 시정조치 보고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(접수 후 15영업일 이내, 고객 요구 기한 우선)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시정조치 실행 및 효과성 검증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불만 종결 (품질팀장 승인)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데이터 분석 — 경영검토 입력 (QP-904)</w:t>
            </w:r>
          </w:p>
        </w:tc>
      </w:tr>
    </w:tbl>
    <w:bookmarkEnd w:id="23"/>
    <w:bookmarkStart w:id="24" w:name="고객-불만-분류-및-대응-등급"/>
    <w:p>
      <w:pPr>
        <w:pStyle w:val="Heading2"/>
      </w:pPr>
      <w:r>
        <w:t xml:space="preserve">7.3 고객 불만 분류 및 대응 등급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대응 기한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안전 관련, 감항성 영향, 항공기 운항 중단(AOG)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즉시</w:t>
            </w:r>
            <w:r>
              <w:t xml:space="preserve"> </w:t>
            </w:r>
            <w:r>
              <w:t xml:space="preserve">대응, 24시간 이내 초기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기능 불량, 사양 미달, 대량 불량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3영업일 이내 초기 분석, 15영업일 이내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외관 불량, 포장 불량, 경미한 사양 편차</w:t>
            </w:r>
          </w:p>
        </w:tc>
        <w:tc>
          <w:tcPr/>
          <w:p>
            <w:pPr>
              <w:pStyle w:val="Compact"/>
            </w:pPr>
            <w:r>
              <w:t xml:space="preserve">5영업일 이내 초기 분석, 30영업일 이내 완료</w:t>
            </w:r>
          </w:p>
        </w:tc>
      </w:tr>
    </w:tbl>
    <w:bookmarkEnd w:id="24"/>
    <w:bookmarkStart w:id="25" w:name="고객-불만-데이터-분석"/>
    <w:p>
      <w:pPr>
        <w:pStyle w:val="Heading2"/>
      </w:pPr>
      <w:r>
        <w:t xml:space="preserve">7.4 고객 불만 데이터 분석</w:t>
      </w:r>
    </w:p>
    <w:p>
      <w:pPr>
        <w:pStyle w:val="FirstParagraph"/>
      </w:pPr>
      <w:r>
        <w:t xml:space="preserve">품질팀은 분기별로 고객 불만 데이터를 분석하여 다음 사항을 경영검토에 보고한다:</w:t>
      </w:r>
      <w:r>
        <w:t xml:space="preserve"> </w:t>
      </w:r>
      <w:r>
        <w:t xml:space="preserve">- 고객 불만 건수 추이 (월별/분기별)</w:t>
      </w:r>
      <w:r>
        <w:t xml:space="preserve"> </w:t>
      </w:r>
      <w:r>
        <w:t xml:space="preserve">- 불만 유형별 분포 (파레토 분석)</w:t>
      </w:r>
      <w:r>
        <w:t xml:space="preserve"> </w:t>
      </w:r>
      <w:r>
        <w:t xml:space="preserve">- 주요 불량 유형 및 재발 현황</w:t>
      </w:r>
      <w:r>
        <w:t xml:space="preserve"> </w:t>
      </w:r>
      <w:r>
        <w:t xml:space="preserve">- 시정조치 효과성 검증 결과</w:t>
      </w:r>
      <w:r>
        <w:t xml:space="preserve"> </w:t>
      </w:r>
      <w:r>
        <w:t xml:space="preserve">- 고객별 불만 현황 (주요 고객 중심)</w:t>
      </w:r>
    </w:p>
    <w:bookmarkEnd w:id="25"/>
    <w:bookmarkEnd w:id="26"/>
    <w:bookmarkStart w:id="30" w:name="현장-반품-처리-rma"/>
    <w:p>
      <w:pPr>
        <w:pStyle w:val="Heading1"/>
      </w:pPr>
      <w:r>
        <w:t xml:space="preserve">8. 현장 반품 처리 (RMA)</w:t>
      </w:r>
    </w:p>
    <w:bookmarkStart w:id="27" w:name="rma-절차"/>
    <w:p>
      <w:pPr>
        <w:pStyle w:val="Heading2"/>
      </w:pPr>
      <w:r>
        <w:t xml:space="preserve">8.1 RMA 절차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반품 요청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영업 담당자: 반품 사유 확인, 보증 조건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RMA 번호 발행 (QF-815-02)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RMA 번호 체계: RMA-YYMMDD-NNN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고객에게 RMA 번호 및 반품 지침 통보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반품 포장 요건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반품 운송 방법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반품 주소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반품 입고 (자재/창고 담당자)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RMA 번호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수량 및 외관 확인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RMA 전용 보관 구역에 격리 보관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반품 분석 (기술부서 + 품질팀)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외관 검사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기능 시험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불량 모드 분류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- 근본 원인 분석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분석 보고서 작성 (QF-815-03)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처분 결정 (품질팀장)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수리 후 반환 → 수리 → 재검사 → 출하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교환 → 양품 출하, 불량품 보관/폐기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환불 → 영업팀 환불 처리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 고객 책임 (오사용 등) → 분석 결과 통보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회신 — 분석 결과 및 처분 결과 보고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RMA 종결 및 기록 완료</w:t>
            </w:r>
          </w:p>
        </w:tc>
      </w:tr>
    </w:tbl>
    <w:bookmarkEnd w:id="27"/>
    <w:bookmarkStart w:id="28" w:name="rma-분석-내용"/>
    <w:p>
      <w:pPr>
        <w:pStyle w:val="Heading2"/>
      </w:pPr>
      <w:r>
        <w:t xml:space="preserve">8.2 RMA 분석 내용</w:t>
      </w:r>
    </w:p>
    <w:p>
      <w:pPr>
        <w:pStyle w:val="FirstParagraph"/>
      </w:pPr>
      <w:r>
        <w:t xml:space="preserve">반품 분석 보고서(QF-815-03)에는 다음 사항을 기록한다: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분석 항목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식별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품번, 시리얼번호, 로트번호, 제조일, 출하일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불량 증상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보고한 불량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검사 결과</w:t>
            </w:r>
          </w:p>
        </w:tc>
        <w:tc>
          <w:tcPr/>
          <w:p>
            <w:pPr>
              <w:pStyle w:val="Compact"/>
            </w:pPr>
            <w:r>
              <w:t xml:space="preserve">외관 손상, 오염, 변형, 부식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시험 결과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전기적/기계적/환경적 시험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불량 모드</w:t>
            </w:r>
          </w:p>
        </w:tc>
        <w:tc>
          <w:tcPr/>
          <w:p>
            <w:pPr>
              <w:pStyle w:val="Compact"/>
            </w:pPr>
            <w:r>
              <w:t xml:space="preserve">불량 유형 분류 (오픈, 쇼트, 기능 불량, 외관 불량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</w:t>
            </w:r>
          </w:p>
        </w:tc>
        <w:tc>
          <w:tcPr/>
          <w:p>
            <w:pPr>
              <w:pStyle w:val="Compact"/>
            </w:pPr>
            <w:r>
              <w:t xml:space="preserve">설계/자재/공정/취급/오사용 등 원인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범위</w:t>
            </w:r>
          </w:p>
        </w:tc>
        <w:tc>
          <w:tcPr/>
          <w:p>
            <w:pPr>
              <w:pStyle w:val="Compact"/>
            </w:pPr>
            <w:r>
              <w:t xml:space="preserve">동일 로트/공정 제품에 대한 영향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</w:t>
            </w:r>
          </w:p>
        </w:tc>
        <w:tc>
          <w:tcPr/>
          <w:p>
            <w:pPr>
              <w:pStyle w:val="Compact"/>
            </w:pPr>
            <w:r>
              <w:t xml:space="preserve">재발 방지를 위한 시정조치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처분 결과</w:t>
            </w:r>
          </w:p>
        </w:tc>
        <w:tc>
          <w:tcPr/>
          <w:p>
            <w:pPr>
              <w:pStyle w:val="Compact"/>
            </w:pPr>
            <w:r>
              <w:t xml:space="preserve">수리/교환/환불/고객 책임</w:t>
            </w:r>
          </w:p>
        </w:tc>
      </w:tr>
    </w:tbl>
    <w:bookmarkEnd w:id="28"/>
    <w:bookmarkStart w:id="29" w:name="rma-데이터-활용"/>
    <w:p>
      <w:pPr>
        <w:pStyle w:val="Heading2"/>
      </w:pPr>
      <w:r>
        <w:t xml:space="preserve">8.3 RMA 데이터 활용</w:t>
      </w:r>
    </w:p>
    <w:p>
      <w:pPr>
        <w:pStyle w:val="Compact"/>
        <w:numPr>
          <w:ilvl w:val="0"/>
          <w:numId w:val="1002"/>
        </w:numPr>
      </w:pPr>
      <w:r>
        <w:t xml:space="preserve">RMA 데이터는 MTBF 계산, 신뢰성 분석에 활용한다.</w:t>
      </w:r>
    </w:p>
    <w:p>
      <w:pPr>
        <w:pStyle w:val="Compact"/>
        <w:numPr>
          <w:ilvl w:val="0"/>
          <w:numId w:val="1002"/>
        </w:numPr>
      </w:pPr>
      <w:r>
        <w:t xml:space="preserve">동일 불량 모드의 반복 발생 시 QP-1001에 따라 CAR(시정조치 요구서)를 발행한다.</w:t>
      </w:r>
    </w:p>
    <w:p>
      <w:pPr>
        <w:pStyle w:val="Compact"/>
        <w:numPr>
          <w:ilvl w:val="0"/>
          <w:numId w:val="1002"/>
        </w:numPr>
      </w:pPr>
      <w:r>
        <w:t xml:space="preserve">분기별 RMA 데이터 분석 결과를 경영검토에 보고한다.</w:t>
      </w:r>
    </w:p>
    <w:bookmarkEnd w:id="29"/>
    <w:bookmarkEnd w:id="30"/>
    <w:bookmarkStart w:id="36" w:name="항공우주-특수-요구사항"/>
    <w:p>
      <w:pPr>
        <w:pStyle w:val="Heading1"/>
      </w:pPr>
      <w:r>
        <w:t xml:space="preserve">9. 항공우주 특수 요구사항</w:t>
      </w:r>
    </w:p>
    <w:bookmarkStart w:id="31" w:name="감항성-정보-제공"/>
    <w:p>
      <w:pPr>
        <w:pStyle w:val="Heading2"/>
      </w:pPr>
      <w:r>
        <w:t xml:space="preserve">9.1 감항성 정보 제공</w:t>
      </w:r>
    </w:p>
    <w:p>
      <w:pPr>
        <w:pStyle w:val="FirstParagraph"/>
      </w:pPr>
      <w:r>
        <w:t xml:space="preserve">항공우주 제품의 감항성(Airworthiness)에 영향을 미치는 정보를 인지한 경우, 다음 절차에 따라 조치한다: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7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감항성 영향 판단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결함, 설계 결함, 공정 편차 등이 감항성에 영향 여부를 기술부서장이 판단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 통보 대상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고객, 해당 항공 당국 (FAA, EASA, CAAV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시한</w:t>
            </w:r>
          </w:p>
        </w:tc>
        <w:tc>
          <w:tcPr/>
          <w:p>
            <w:pPr>
              <w:pStyle w:val="Compact"/>
            </w:pPr>
            <w:r>
              <w:t xml:space="preserve">감항성 영향 인지 후</w:t>
            </w:r>
            <w:r>
              <w:t xml:space="preserve"> </w:t>
            </w:r>
            <w:r>
              <w:rPr>
                <w:b/>
                <w:bCs/>
              </w:rPr>
              <w:t xml:space="preserve">즉시</w:t>
            </w:r>
            <w:r>
              <w:t xml:space="preserve"> </w:t>
            </w:r>
            <w:r>
              <w:t xml:space="preserve">(24시간 이내)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내용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영향받는 제품 식별 정보, 결함 내용, 잠재 영향, 권고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통보 승인</w:t>
            </w:r>
          </w:p>
        </w:tc>
        <w:tc>
          <w:tcPr/>
          <w:p>
            <w:pPr>
              <w:pStyle w:val="Compact"/>
            </w:pPr>
            <w:r>
              <w:t xml:space="preserve">QMR 승인 후 통보 (긴급 시 사후 승인 가능)</w:t>
            </w:r>
          </w:p>
        </w:tc>
      </w:tr>
    </w:tbl>
    <w:bookmarkEnd w:id="31"/>
    <w:bookmarkStart w:id="32" w:name="서비스-불리틴-service-bulletin-발행"/>
    <w:p>
      <w:pPr>
        <w:pStyle w:val="Heading2"/>
      </w:pPr>
      <w:r>
        <w:t xml:space="preserve">9.2 서비스 불리틴 (Service Bulletin) 발행</w:t>
      </w:r>
    </w:p>
    <w:p>
      <w:pPr>
        <w:pStyle w:val="FirstParagraph"/>
      </w:pPr>
      <w:r>
        <w:t xml:space="preserve">제품 사용 중 개선, 수정 또는 추가 검사가 필요한 경우 서비스 불리틴을 발행한다: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8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사유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 개선, 공정 개선, 안전 관련 수정, 성능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기술부서장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검토/승인</w:t>
            </w:r>
          </w:p>
        </w:tc>
        <w:tc>
          <w:tcPr/>
          <w:p>
            <w:pPr>
              <w:pStyle w:val="Compact"/>
            </w:pPr>
            <w:r>
              <w:t xml:space="preserve">QMR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대상</w:t>
            </w:r>
          </w:p>
        </w:tc>
        <w:tc>
          <w:tcPr>
            <w:tcW w:w="710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영향받는 제품을 사용하는 모든 고객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Mandatory(의무) / Recommended(권고) / Optional(선택)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</w:t>
            </w:r>
          </w:p>
        </w:tc>
        <w:tc>
          <w:tcPr/>
          <w:p>
            <w:pPr>
              <w:pStyle w:val="Compact"/>
            </w:pPr>
            <w:r>
              <w:t xml:space="preserve">서비스 불리틴 이행 현황 추적 관리</w:t>
            </w:r>
          </w:p>
        </w:tc>
      </w:tr>
    </w:tbl>
    <w:p>
      <w:pPr>
        <w:pStyle w:val="BodyText"/>
      </w:pPr>
      <w:r>
        <w:t xml:space="preserve">서비스 불리틴에는 다음 정보를 포함한다:</w:t>
      </w:r>
      <w:r>
        <w:t xml:space="preserve"> </w:t>
      </w:r>
      <w:r>
        <w:t xml:space="preserve">- 서비스 불리틴 번호 (SB-YYMMDD-NNN)</w:t>
      </w:r>
      <w:r>
        <w:t xml:space="preserve"> </w:t>
      </w:r>
      <w:r>
        <w:t xml:space="preserve">- 영향받는 제품 식별 (품번, 시리얼번호 범위, 로트번호)</w:t>
      </w:r>
      <w:r>
        <w:t xml:space="preserve"> </w:t>
      </w:r>
      <w:r>
        <w:t xml:space="preserve">- 수정/개선 내용 상세 설명</w:t>
      </w:r>
      <w:r>
        <w:t xml:space="preserve"> </w:t>
      </w:r>
      <w:r>
        <w:t xml:space="preserve">- 조치 방법 (작업 지침)</w:t>
      </w:r>
      <w:r>
        <w:t xml:space="preserve"> </w:t>
      </w:r>
      <w:r>
        <w:t xml:space="preserve">- 분류 (Mandatory / Recommended / Optional)</w:t>
      </w:r>
      <w:r>
        <w:t xml:space="preserve"> </w:t>
      </w:r>
      <w:r>
        <w:t xml:space="preserve">- 조치 기한 (해당 시)</w:t>
      </w:r>
      <w:r>
        <w:t xml:space="preserve"> </w:t>
      </w:r>
      <w:r>
        <w:t xml:space="preserve">- 필요 부품/자재 목록</w:t>
      </w:r>
    </w:p>
    <w:bookmarkEnd w:id="32"/>
    <w:bookmarkStart w:id="33" w:name="안전-관련-즉시-통보"/>
    <w:p>
      <w:pPr>
        <w:pStyle w:val="Heading2"/>
      </w:pPr>
      <w:r>
        <w:t xml:space="preserve">9.3 안전 관련 즉시 통보</w:t>
      </w:r>
    </w:p>
    <w:p>
      <w:pPr>
        <w:pStyle w:val="FirstParagraph"/>
      </w:pPr>
      <w:r>
        <w:t xml:space="preserve">제품 안전에 관련된 결함 또는 위험을 인지한 경우, 다음 절차를 즉시 수행한다: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안전 관련 결함/위험 인지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기술부서장 → QMR 즉시 보고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안전 영향도 평가 (4시간 이내)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즉각적 위험 → 모든 고객에게 즉시 사용 중지 권고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├─ 잠재적 위험 → 영향 범위 조사 후 24시간 이내 통보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 위험 아님 → 일반 시정조치 절차 (QP-1001)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고객 통보 (전화 + 이메일/공문)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해당 항공 당국 통보 (해당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시정조치 수립 및 실행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서비스 불리틴 발행 (해당 시)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↓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조치 완료 확인 및 기록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안전 관련 즉시 통보 대상</w:t>
      </w:r>
      <w:r>
        <w:t xml:space="preserve">:</w:t>
      </w:r>
      <w:r>
        <w:t xml:space="preserve"> </w:t>
      </w:r>
      <w:r>
        <w:t xml:space="preserve">- 항공기 또는 승객/승무원의 안전에 위험을 초래할 수 있는 결함</w:t>
      </w:r>
      <w:r>
        <w:t xml:space="preserve"> </w:t>
      </w:r>
      <w:r>
        <w:t xml:space="preserve">- 감항성에 영향을 미치는 제품 결함</w:t>
      </w:r>
      <w:r>
        <w:t xml:space="preserve"> </w:t>
      </w:r>
      <w:r>
        <w:t xml:space="preserve">- 인명 피해 또는 재산 피해를 초래할 수 있는 결함</w:t>
      </w:r>
    </w:p>
    <w:bookmarkEnd w:id="33"/>
    <w:bookmarkStart w:id="34" w:name="수리오버홀-지원"/>
    <w:p>
      <w:pPr>
        <w:pStyle w:val="Heading2"/>
      </w:pPr>
      <w:r>
        <w:t xml:space="preserve">9.4 수리/오버홀 지원</w:t>
      </w:r>
    </w:p>
    <w:p>
      <w:pPr>
        <w:pStyle w:val="FirstParagraph"/>
      </w:pPr>
      <w:r>
        <w:t xml:space="preserve">고객이 현장에서 수리 또는 오버홀을 수행하는 경우 다음 지원을 제공한다: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54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지원 항목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 매뉴얼 제공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구성요소 수리 매뉴얼(CMM) 제공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문의 대응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수리/오버홀 관련 기술 문의에 3영업일 이내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스페어파트 공급</w:t>
            </w:r>
          </w:p>
        </w:tc>
        <w:tc>
          <w:tcPr/>
          <w:p>
            <w:pPr>
              <w:pStyle w:val="Compact"/>
            </w:pPr>
            <w:r>
              <w:t xml:space="preserve">수리/오버홀에 필요한 교체 부품 공급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자문</w:t>
            </w:r>
          </w:p>
        </w:tc>
        <w:tc>
          <w:tcPr>
            <w:tcW w:w="62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현장 수리 가능 여부 판단, 수리 방법 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수리 후 시험 기준</w:t>
            </w:r>
          </w:p>
        </w:tc>
        <w:tc>
          <w:tcPr/>
          <w:p>
            <w:pPr>
              <w:pStyle w:val="Compact"/>
            </w:pPr>
            <w:r>
              <w:t xml:space="preserve">수리/오버홀 후 검사/시험 기준 제공</w:t>
            </w:r>
          </w:p>
        </w:tc>
      </w:tr>
    </w:tbl>
    <w:bookmarkEnd w:id="34"/>
    <w:bookmarkStart w:id="35" w:name="제품-수명-주기-지원"/>
    <w:p>
      <w:pPr>
        <w:pStyle w:val="Heading2"/>
      </w:pPr>
      <w:r>
        <w:t xml:space="preserve">9.5 제품 수명 주기 지원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빈도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변경 통보</w:t>
            </w:r>
          </w:p>
        </w:tc>
        <w:tc>
          <w:tcPr/>
          <w:p>
            <w:pPr>
              <w:pStyle w:val="Compact"/>
            </w:pPr>
            <w:r>
              <w:t xml:space="preserve">제품 설계 변경 시 영향받는 고객에게 사전 통보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발생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단종 통보 (EOL Notice)</w:t>
            </w:r>
          </w:p>
        </w:tc>
        <w:tc>
          <w:tcPr/>
          <w:p>
            <w:pPr>
              <w:pStyle w:val="Compact"/>
            </w:pPr>
            <w:r>
              <w:t xml:space="preserve">제품 단종 결정 시 최소 12개월 전 고객 통보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단종 결정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구매 기회 (Last Time Buy)</w:t>
            </w:r>
          </w:p>
        </w:tc>
        <w:tc>
          <w:tcPr/>
          <w:p>
            <w:pPr>
              <w:pStyle w:val="Compact"/>
            </w:pPr>
            <w:r>
              <w:t xml:space="preserve">단종 전 최종 구매 기회 제공</w:t>
            </w:r>
          </w:p>
        </w:tc>
        <w:tc>
          <w:tcPr/>
          <w:p>
            <w:pPr>
              <w:pStyle w:val="Compact"/>
            </w:pPr>
            <w:r>
              <w:t xml:space="preserve">단종 전 6개월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스페어파트 보유</w:t>
            </w:r>
          </w:p>
        </w:tc>
        <w:tc>
          <w:tcPr/>
          <w:p>
            <w:pPr>
              <w:pStyle w:val="Compact"/>
            </w:pPr>
            <w:r>
              <w:t xml:space="preserve">단종 후 계약에 명시된 기간 스페어파트 보유</w:t>
            </w:r>
          </w:p>
        </w:tc>
        <w:tc>
          <w:tcPr/>
          <w:p>
            <w:pPr>
              <w:pStyle w:val="Compact"/>
            </w:pPr>
            <w:r>
              <w:t xml:space="preserve">계약에 따름</w:t>
            </w:r>
          </w:p>
        </w:tc>
      </w:tr>
    </w:tbl>
    <w:bookmarkEnd w:id="35"/>
    <w:bookmarkEnd w:id="36"/>
    <w:bookmarkStart w:id="39" w:name="기록-관리"/>
    <w:p>
      <w:pPr>
        <w:pStyle w:val="Heading1"/>
      </w:pPr>
      <w:r>
        <w:t xml:space="preserve">10. 기록 관리</w:t>
      </w:r>
    </w:p>
    <w:bookmarkStart w:id="37" w:name="필수-기록"/>
    <w:p>
      <w:pPr>
        <w:pStyle w:val="Heading2"/>
      </w:pPr>
      <w:r>
        <w:t xml:space="preserve">10.1 필수 기록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3046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대장 (Customer Complaint Register)</w:t>
            </w:r>
          </w:p>
        </w:tc>
        <w:tc>
          <w:tcPr/>
          <w:p>
            <w:pPr>
              <w:pStyle w:val="Compact"/>
            </w:pPr>
            <w:r>
              <w:t xml:space="preserve">QF-815-01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종결일로부터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 처리 기록 (RMA Processing Record)</w:t>
            </w:r>
          </w:p>
        </w:tc>
        <w:tc>
          <w:tcPr/>
          <w:p>
            <w:pPr>
              <w:pStyle w:val="Compact"/>
            </w:pPr>
            <w:r>
              <w:t xml:space="preserve">QF-815-02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종결일로부터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반품 분석 보고서 (Return Analysis Report)</w:t>
            </w:r>
          </w:p>
        </w:tc>
        <w:tc>
          <w:tcPr/>
          <w:p>
            <w:pPr>
              <w:pStyle w:val="Compact"/>
            </w:pPr>
            <w:r>
              <w:t xml:space="preserve">QF-815-03</w:t>
            </w:r>
          </w:p>
        </w:tc>
        <w:tc>
          <w:tcPr/>
          <w:p>
            <w:pPr>
              <w:pStyle w:val="Compact"/>
            </w:pPr>
            <w:r>
              <w:t xml:space="preserve">작성일로부터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 불리틴 발행 기록</w:t>
            </w:r>
          </w:p>
        </w:tc>
        <w:tc>
          <w:tcPr/>
          <w:p>
            <w:pPr>
              <w:pStyle w:val="Compact"/>
            </w:pPr>
            <w:r>
              <w:t xml:space="preserve">QF-815-04</w:t>
            </w:r>
          </w:p>
        </w:tc>
        <w:tc>
          <w:tcPr/>
          <w:p>
            <w:pPr>
              <w:pStyle w:val="Compact"/>
            </w:pPr>
            <w:r>
              <w:t xml:space="preserve">해당 제품 단종 후 10년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관련 통보 기록</w:t>
            </w:r>
          </w:p>
        </w:tc>
        <w:tc>
          <w:tcPr/>
          <w:p>
            <w:pPr>
              <w:pStyle w:val="Compact"/>
            </w:pPr>
            <w:r>
              <w:t xml:space="preserve">QF-815-05</w:t>
            </w:r>
          </w:p>
        </w:tc>
        <w:tc>
          <w:tcPr/>
          <w:p>
            <w:pPr>
              <w:pStyle w:val="Compact"/>
            </w:pPr>
            <w:r>
              <w:t xml:space="preserve">통보일로부터 영구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기술지원 기록 (Technical Support Log)</w:t>
            </w:r>
          </w:p>
        </w:tc>
        <w:tc>
          <w:tcPr/>
          <w:p>
            <w:pPr>
              <w:pStyle w:val="Compact"/>
            </w:pPr>
            <w:r>
              <w:t xml:space="preserve">QF-815-06</w:t>
            </w:r>
          </w:p>
        </w:tc>
        <w:tc>
          <w:tcPr/>
          <w:p>
            <w:pPr>
              <w:pStyle w:val="Compact"/>
            </w:pPr>
            <w:r>
              <w:t xml:space="preserve">작성일로부터 5년</w:t>
            </w:r>
          </w:p>
        </w:tc>
      </w:tr>
    </w:tbl>
    <w:bookmarkEnd w:id="37"/>
    <w:bookmarkStart w:id="38" w:name="기록-관리-원칙"/>
    <w:p>
      <w:pPr>
        <w:pStyle w:val="Heading2"/>
      </w:pPr>
      <w:r>
        <w:t xml:space="preserve">10.2 기록 관리 원칙</w:t>
      </w:r>
    </w:p>
    <w:p>
      <w:pPr>
        <w:pStyle w:val="Compact"/>
        <w:numPr>
          <w:ilvl w:val="0"/>
          <w:numId w:val="1003"/>
        </w:numPr>
      </w:pPr>
      <w:r>
        <w:t xml:space="preserve">모든 기록은 QP-706 (문서화된 정보 관리)에 따라 관리한다.</w:t>
      </w:r>
    </w:p>
    <w:p>
      <w:pPr>
        <w:pStyle w:val="Compact"/>
        <w:numPr>
          <w:ilvl w:val="0"/>
          <w:numId w:val="1003"/>
        </w:numPr>
      </w:pPr>
      <w:r>
        <w:t xml:space="preserve">안전 관련 통보 기록은 영구 보존한다.</w:t>
      </w:r>
    </w:p>
    <w:p>
      <w:pPr>
        <w:pStyle w:val="Compact"/>
        <w:numPr>
          <w:ilvl w:val="0"/>
          <w:numId w:val="1003"/>
        </w:numPr>
      </w:pPr>
      <w:r>
        <w:t xml:space="preserve">고객 불만 및 RMA 데이터는 분기별 분석하여 경영검토에 입력한다.</w:t>
      </w:r>
    </w:p>
    <w:p>
      <w:pPr>
        <w:pStyle w:val="Compact"/>
        <w:numPr>
          <w:ilvl w:val="0"/>
          <w:numId w:val="1003"/>
        </w:numPr>
      </w:pPr>
      <w:r>
        <w:t xml:space="preserve">전자 기록의 경우 정기적 백업을 수행한다.</w:t>
      </w:r>
    </w:p>
    <w:bookmarkEnd w:id="38"/>
    <w:bookmarkEnd w:id="39"/>
    <w:bookmarkStart w:id="42" w:name="관련-문서-및-양식"/>
    <w:p>
      <w:pPr>
        <w:pStyle w:val="Heading1"/>
      </w:pPr>
      <w:r>
        <w:t xml:space="preserve">11. 관련 문서 및 양식</w:t>
      </w:r>
    </w:p>
    <w:bookmarkStart w:id="40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관리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 및 추적성 관리 절차서</w:t>
            </w:r>
          </w:p>
        </w:tc>
        <w:tc>
          <w:tcPr/>
          <w:p>
            <w:pPr>
              <w:pStyle w:val="Compact"/>
            </w:pPr>
            <w:r>
              <w:t xml:space="preserve">반품 추적성 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 절차서</w:t>
            </w:r>
          </w:p>
        </w:tc>
        <w:tc>
          <w:tcPr/>
          <w:p>
            <w:pPr>
              <w:pStyle w:val="Compact"/>
            </w:pPr>
            <w:r>
              <w:t xml:space="preserve">반품 부적합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QP-902</w:t>
            </w:r>
          </w:p>
        </w:tc>
        <w:tc>
          <w:tcPr/>
          <w:p>
            <w:pPr>
              <w:pStyle w:val="Compact"/>
            </w:pPr>
            <w:r>
              <w:t xml:space="preserve">고객 만족도 관리 절차서</w:t>
            </w:r>
          </w:p>
        </w:tc>
        <w:tc>
          <w:tcPr/>
          <w:p>
            <w:pPr>
              <w:pStyle w:val="Compact"/>
            </w:pPr>
            <w:r>
              <w:t xml:space="preserve">고객 불만 데이터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불만/RMA 데이터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QP-1001</w:t>
            </w:r>
          </w:p>
        </w:tc>
        <w:tc>
          <w:tcPr/>
          <w:p>
            <w:pPr>
              <w:pStyle w:val="Compact"/>
            </w:pPr>
            <w:r>
              <w:t xml:space="preserve">부적합/시정조치 관리 절차서</w:t>
            </w:r>
          </w:p>
        </w:tc>
        <w:tc>
          <w:tcPr/>
          <w:p>
            <w:pPr>
              <w:pStyle w:val="Compact"/>
            </w:pPr>
            <w:r>
              <w:t xml:space="preserve">시정조치 발행 및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 절차서</w:t>
            </w:r>
          </w:p>
        </w:tc>
        <w:tc>
          <w:tcPr/>
          <w:p>
            <w:pPr>
              <w:pStyle w:val="Compact"/>
            </w:pPr>
            <w:r>
              <w:t xml:space="preserve">안전 관련 통보 연계</w:t>
            </w:r>
          </w:p>
        </w:tc>
      </w:tr>
    </w:tbl>
    <w:bookmarkEnd w:id="40"/>
    <w:bookmarkStart w:id="41" w:name="양식-목록"/>
    <w:p>
      <w:pPr>
        <w:pStyle w:val="Heading2"/>
      </w:pPr>
      <w:r>
        <w:t xml:space="preserve">11.2 양식 목록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78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QF-815-01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 대장 (Customer Complaint Register)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QF-815-02</w:t>
            </w:r>
          </w:p>
        </w:tc>
        <w:tc>
          <w:tcPr>
            <w:tcW w:w="7002" w:type="dxa"/>
          </w:tcPr>
          <w:p>
            <w:pPr>
              <w:pStyle w:val="Compact"/>
            </w:pPr>
            <w:r>
              <w:t xml:space="preserve">RMA 처리 기록 (RMA Processing Record)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QF-815-03</w:t>
            </w:r>
          </w:p>
        </w:tc>
        <w:tc>
          <w:tcPr/>
          <w:p>
            <w:pPr>
              <w:pStyle w:val="Compact"/>
            </w:pPr>
            <w:r>
              <w:t xml:space="preserve">반품 분석 보고서 (Return Analysis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QF-815-04</w:t>
            </w:r>
          </w:p>
        </w:tc>
        <w:tc>
          <w:tcPr>
            <w:tcW w:w="700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서비스 불리틴 (Service Bulletin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QF-815-05</w:t>
            </w:r>
          </w:p>
        </w:tc>
        <w:tc>
          <w:tcPr/>
          <w:p>
            <w:pPr>
              <w:pStyle w:val="Compact"/>
            </w:pPr>
            <w:r>
              <w:t xml:space="preserve">안전 관련 통보 기록 (Safety Notification Record)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QF-815-06</w:t>
            </w:r>
          </w:p>
        </w:tc>
        <w:tc>
          <w:tcPr/>
          <w:p>
            <w:pPr>
              <w:pStyle w:val="Compact"/>
            </w:pPr>
            <w:r>
              <w:t xml:space="preserve">기술지원 기록 (Technical Support Log)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(End of Document)</w:t>
      </w:r>
    </w:p>
    <w:bookmarkEnd w:id="41"/>
    <w:bookmarkEnd w:id="4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인도 후 활동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인도 후 활동 관리 절차서</w:t>
    </w:r>
    <w:r>
      <w:tab/>
    </w:r>
    <w:r>
      <w:rPr>
        <w:sz w:val="18"/>
      </w:rPr>
      <w:t>QP-815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인도 후 활동 관리 절차서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QP-815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