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부품 식별 및 라벨링 지침서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WI-809-01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부품 식별 및 라벨링 지침서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이력"/>
    <w:p>
      <w:pPr>
        <w:pStyle w:val="Heading2"/>
      </w:pPr>
      <w:r>
        <w:t xml:space="preserve">개정이력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Rev. 0</w:t>
            </w:r>
          </w:p>
        </w:tc>
        <w:tc>
          <w:tcPr/>
          <w:p>
            <w:pPr>
              <w:pStyle w:val="Compact"/>
            </w:pPr>
            <w:r>
              <w:t xml:space="preserve">2026.05.__</w:t>
            </w:r>
          </w:p>
        </w:tc>
        <w:tc>
          <w:tcPr/>
          <w:p>
            <w:pPr>
              <w:pStyle w:val="Compact"/>
            </w:pPr>
            <w:r>
              <w:t xml:space="preserve">신규 제정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r>
        <w:t xml:space="preserve">목적</w:t>
      </w:r>
    </w:p>
    <w:p>
      <w:pPr>
        <w:pStyle w:val="Compact"/>
        <w:numPr>
          <w:ilvl w:val="0"/>
          <w:numId w:val="1001"/>
        </w:numPr>
      </w:pPr>
      <w:r>
        <w:t xml:space="preserve">적용범위</w:t>
      </w:r>
    </w:p>
    <w:p>
      <w:pPr>
        <w:pStyle w:val="Compact"/>
        <w:numPr>
          <w:ilvl w:val="0"/>
          <w:numId w:val="1001"/>
        </w:numPr>
      </w:pPr>
      <w:r>
        <w:t xml:space="preserve">참조문서</w:t>
      </w:r>
    </w:p>
    <w:p>
      <w:pPr>
        <w:pStyle w:val="Compact"/>
        <w:numPr>
          <w:ilvl w:val="0"/>
          <w:numId w:val="1001"/>
        </w:numPr>
      </w:pPr>
      <w:r>
        <w:t xml:space="preserve">용어정의</w:t>
      </w:r>
    </w:p>
    <w:p>
      <w:pPr>
        <w:pStyle w:val="Compact"/>
        <w:numPr>
          <w:ilvl w:val="0"/>
          <w:numId w:val="1001"/>
        </w:numPr>
      </w:pPr>
      <w:r>
        <w:t xml:space="preserve">라벨 종류 및 용도</w:t>
      </w:r>
    </w:p>
    <w:p>
      <w:pPr>
        <w:pStyle w:val="Compact"/>
        <w:numPr>
          <w:ilvl w:val="0"/>
          <w:numId w:val="1001"/>
        </w:numPr>
      </w:pPr>
      <w:r>
        <w:t xml:space="preserve">라벨 기재 필수 항목</w:t>
      </w:r>
    </w:p>
    <w:p>
      <w:pPr>
        <w:pStyle w:val="Compact"/>
        <w:numPr>
          <w:ilvl w:val="0"/>
          <w:numId w:val="1001"/>
        </w:numPr>
      </w:pPr>
      <w:r>
        <w:t xml:space="preserve">라벨 부착 방법</w:t>
      </w:r>
    </w:p>
    <w:p>
      <w:pPr>
        <w:pStyle w:val="Compact"/>
        <w:numPr>
          <w:ilvl w:val="0"/>
          <w:numId w:val="1001"/>
        </w:numPr>
      </w:pPr>
      <w:r>
        <w:t xml:space="preserve">로트번호 부여 규칙</w:t>
      </w:r>
    </w:p>
    <w:p>
      <w:pPr>
        <w:pStyle w:val="Compact"/>
        <w:numPr>
          <w:ilvl w:val="0"/>
          <w:numId w:val="1001"/>
        </w:numPr>
      </w:pPr>
      <w:r>
        <w:t xml:space="preserve">바코드 라벨 인쇄 및 스캔 방법</w:t>
      </w:r>
    </w:p>
    <w:p>
      <w:pPr>
        <w:pStyle w:val="Compact"/>
        <w:numPr>
          <w:ilvl w:val="0"/>
          <w:numId w:val="1001"/>
        </w:numPr>
      </w:pPr>
      <w:r>
        <w:t xml:space="preserve">공정 이동표(Lot Traveler) 기입 요령</w:t>
      </w:r>
    </w:p>
    <w:p>
      <w:pPr>
        <w:pStyle w:val="Compact"/>
        <w:numPr>
          <w:ilvl w:val="0"/>
          <w:numId w:val="1001"/>
        </w:numPr>
      </w:pPr>
      <w:r>
        <w:t xml:space="preserve">라벨 손상 및 분실 시 처리</w:t>
      </w:r>
    </w:p>
    <w:p>
      <w:pPr>
        <w:pStyle w:val="Compact"/>
        <w:numPr>
          <w:ilvl w:val="0"/>
          <w:numId w:val="1001"/>
        </w:numPr>
      </w:pPr>
      <w:r>
        <w:t xml:space="preserve">식별 불가 자재 처리</w:t>
      </w:r>
    </w:p>
    <w:p>
      <w:pPr>
        <w:pStyle w:val="Compact"/>
        <w:numPr>
          <w:ilvl w:val="0"/>
          <w:numId w:val="1001"/>
        </w:numPr>
      </w:pPr>
      <w:r>
        <w:t xml:space="preserve">주의사항</w:t>
      </w:r>
    </w:p>
    <w:p>
      <w:r>
        <w:br w:type="page"/>
      </w:r>
    </w:p>
    <w:bookmarkEnd w:id="13"/>
    <w:bookmarkStart w:id="14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지침서는 M&amp;C에서 취급하는 원자재, 반제품, 완제품에 대한 식별 및 라벨링 방법을 구체적으로 규정하여, AS9100D 8.5.2 요구사항에 따른 추적성을 확보하고 제품의 혼입을 방지함을 목적으로 한다.</w:t>
      </w:r>
    </w:p>
    <w:bookmarkEnd w:id="14"/>
    <w:bookmarkStart w:id="15" w:name="적용범위"/>
    <w:p>
      <w:pPr>
        <w:pStyle w:val="Heading2"/>
      </w:pPr>
      <w:r>
        <w:t xml:space="preserve">2. 적용범위</w:t>
      </w:r>
    </w:p>
    <w:p>
      <w:pPr>
        <w:pStyle w:val="Compact"/>
        <w:numPr>
          <w:ilvl w:val="0"/>
          <w:numId w:val="1002"/>
        </w:numPr>
      </w:pPr>
      <w:r>
        <w:t xml:space="preserve">M&amp;C 베트남 사업장에서 취급하는 모든 원자재, 부자재, 반제품, 완제품에 적용한다.</w:t>
      </w:r>
    </w:p>
    <w:p>
      <w:pPr>
        <w:pStyle w:val="Compact"/>
        <w:numPr>
          <w:ilvl w:val="0"/>
          <w:numId w:val="1002"/>
        </w:numPr>
      </w:pPr>
      <w:r>
        <w:t xml:space="preserve">수입 검사, 공정 중, 최종 검사, 포장/출하 전 단계에 걸쳐 적용한다.</w:t>
      </w:r>
    </w:p>
    <w:p>
      <w:pPr>
        <w:pStyle w:val="Compact"/>
        <w:numPr>
          <w:ilvl w:val="0"/>
          <w:numId w:val="1002"/>
        </w:numPr>
      </w:pPr>
      <w:r>
        <w:t xml:space="preserve">고객 지급품(Customer Property) 및 외주 처리품에도 동일하게 적용한다.</w:t>
      </w:r>
    </w:p>
    <w:bookmarkEnd w:id="15"/>
    <w:bookmarkStart w:id="16" w:name="참조문서"/>
    <w:p>
      <w:pPr>
        <w:pStyle w:val="Heading2"/>
      </w:pPr>
      <w:r>
        <w:t xml:space="preserve">3. 참조문서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식별 및 추적성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생산/서비스 제공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QP-815</w:t>
            </w:r>
          </w:p>
        </w:tc>
        <w:tc>
          <w:tcPr/>
          <w:p>
            <w:pPr>
              <w:pStyle w:val="Compact"/>
            </w:pPr>
            <w:r>
              <w:t xml:space="preserve">부적합품 관리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QF-812-01</w:t>
            </w:r>
          </w:p>
        </w:tc>
        <w:tc>
          <w:tcPr/>
          <w:p>
            <w:pPr>
              <w:pStyle w:val="Compact"/>
            </w:pPr>
            <w:r>
              <w:t xml:space="preserve">로트 이동표(Lot Traveler)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QF-812-02</w:t>
            </w:r>
          </w:p>
        </w:tc>
        <w:tc>
          <w:tcPr/>
          <w:p>
            <w:pPr>
              <w:pStyle w:val="Compact"/>
            </w:pPr>
            <w:r>
              <w:t xml:space="preserve">라벨 재발행 요청서 양식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ISO. IATF 문서 폴더 39</w:t>
            </w:r>
          </w:p>
        </w:tc>
        <w:tc>
          <w:tcPr/>
          <w:p>
            <w:pPr>
              <w:pStyle w:val="Compact"/>
            </w:pPr>
            <w:r>
              <w:t xml:space="preserve">추적성 절차 (참조)</w:t>
            </w:r>
          </w:p>
        </w:tc>
      </w:tr>
    </w:tbl>
    <w:bookmarkEnd w:id="16"/>
    <w:bookmarkStart w:id="17" w:name="용어정의"/>
    <w:p>
      <w:pPr>
        <w:pStyle w:val="Heading2"/>
      </w:pPr>
      <w:r>
        <w:t xml:space="preserve">4. 용어정의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86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92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로트(Lot)</w:t>
            </w:r>
          </w:p>
        </w:tc>
        <w:tc>
          <w:tcPr>
            <w:tcW w:w="59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동일 자재, 동일 조건에서 생산된 부품 단위 그룹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로트번호(Lot No.)</w:t>
            </w:r>
          </w:p>
        </w:tc>
        <w:tc>
          <w:tcPr>
            <w:tcW w:w="59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로트를 고유하게 식별하는 번호 체계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 Traveler</w:t>
            </w:r>
          </w:p>
        </w:tc>
        <w:tc>
          <w:tcPr/>
          <w:p>
            <w:pPr>
              <w:pStyle w:val="Compact"/>
            </w:pPr>
            <w:r>
              <w:t xml:space="preserve">로트와 함께 이동하며 공정 이력을 기록하는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부품번호(P/N)</w:t>
            </w:r>
          </w:p>
        </w:tc>
        <w:tc>
          <w:tcPr>
            <w:tcW w:w="592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부품을 고유하게 식별하는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SN(Serial Number)</w:t>
            </w:r>
          </w:p>
        </w:tc>
        <w:tc>
          <w:tcPr/>
          <w:p>
            <w:pPr>
              <w:pStyle w:val="Compact"/>
            </w:pPr>
            <w:r>
              <w:t xml:space="preserve">개별 부품에 부여되는 일련번호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상태</w:t>
            </w:r>
          </w:p>
        </w:tc>
        <w:tc>
          <w:tcPr/>
          <w:p>
            <w:pPr>
              <w:pStyle w:val="Compact"/>
            </w:pPr>
            <w:r>
              <w:t xml:space="preserve">합격/불합격/보류/미검사 등 검사 결과 상태</w:t>
            </w:r>
          </w:p>
        </w:tc>
      </w:tr>
    </w:tbl>
    <w:bookmarkEnd w:id="17"/>
    <w:bookmarkStart w:id="20" w:name="라벨-종류-및-용도"/>
    <w:p>
      <w:pPr>
        <w:pStyle w:val="Heading2"/>
      </w:pPr>
      <w:r>
        <w:t xml:space="preserve">5. 라벨 종류 및 용도</w:t>
      </w:r>
    </w:p>
    <w:bookmarkStart w:id="18" w:name="라벨-분류표"/>
    <w:p>
      <w:pPr>
        <w:pStyle w:val="Heading3"/>
      </w:pPr>
      <w:r>
        <w:t xml:space="preserve">5.1 라벨 분류표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475"/>
        <w:gridCol w:w="1485"/>
        <w:gridCol w:w="1485"/>
        <w:gridCol w:w="247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라벨 종류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색상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식별 라벨</w:t>
            </w:r>
          </w:p>
        </w:tc>
        <w:tc>
          <w:tcPr/>
          <w:p>
            <w:pPr>
              <w:pStyle w:val="Compact"/>
            </w:pPr>
            <w:r>
              <w:t xml:space="preserve">흰색</w:t>
            </w:r>
          </w:p>
        </w:tc>
        <w:tc>
          <w:tcPr/>
          <w:p>
            <w:pPr>
              <w:pStyle w:val="Compact"/>
            </w:pPr>
            <w:r>
              <w:t xml:space="preserve">원자재/부자재 입고 식별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수입검사 합격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이동 라벨</w:t>
            </w:r>
          </w:p>
        </w:tc>
        <w:tc>
          <w:tcPr/>
          <w:p>
            <w:pPr>
              <w:pStyle w:val="Compact"/>
            </w:pPr>
            <w:r>
              <w:t xml:space="preserve">청색</w:t>
            </w:r>
          </w:p>
        </w:tc>
        <w:tc>
          <w:tcPr/>
          <w:p>
            <w:pPr>
              <w:pStyle w:val="Compact"/>
            </w:pPr>
            <w:r>
              <w:t xml:space="preserve">공정 간 이동 시 로트 식별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투입/완료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완제품 라벨</w:t>
            </w:r>
          </w:p>
        </w:tc>
        <w:tc>
          <w:tcPr/>
          <w:p>
            <w:pPr>
              <w:pStyle w:val="Compact"/>
            </w:pPr>
            <w:r>
              <w:t xml:space="preserve">녹색</w:t>
            </w:r>
          </w:p>
        </w:tc>
        <w:tc>
          <w:tcPr/>
          <w:p>
            <w:pPr>
              <w:pStyle w:val="Compact"/>
            </w:pPr>
            <w:r>
              <w:t xml:space="preserve">최종 검사 합격 완제품 식별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최종검사 합격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 상태 라벨</w:t>
            </w:r>
          </w:p>
        </w:tc>
        <w:tc>
          <w:tcPr/>
          <w:p>
            <w:pPr>
              <w:pStyle w:val="Compact"/>
            </w:pPr>
            <w:r>
              <w:t xml:space="preserve">별도 규정</w:t>
            </w:r>
          </w:p>
        </w:tc>
        <w:tc>
          <w:tcPr/>
          <w:p>
            <w:pPr>
              <w:pStyle w:val="Compact"/>
            </w:pPr>
            <w:r>
              <w:t xml:space="preserve">검사 진행 상태 표시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각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부적합품 라벨</w:t>
            </w:r>
          </w:p>
        </w:tc>
        <w:tc>
          <w:tcPr/>
          <w:p>
            <w:pPr>
              <w:pStyle w:val="Compact"/>
            </w:pPr>
            <w:r>
              <w:t xml:space="preserve">적색</w:t>
            </w:r>
          </w:p>
        </w:tc>
        <w:tc>
          <w:tcPr/>
          <w:p>
            <w:pPr>
              <w:pStyle w:val="Compact"/>
            </w:pPr>
            <w:r>
              <w:t xml:space="preserve">부적합품 식별 및 격리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부적합 판정 시</w:t>
            </w:r>
          </w:p>
        </w:tc>
      </w:tr>
    </w:tbl>
    <w:bookmarkEnd w:id="18"/>
    <w:bookmarkStart w:id="19" w:name="검사-상태-라벨-세부"/>
    <w:p>
      <w:pPr>
        <w:pStyle w:val="Heading3"/>
      </w:pPr>
      <w:r>
        <w:t xml:space="preserve">5.2 검사 상태 라벨 세부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색상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합격(Accepted)</w:t>
            </w:r>
          </w:p>
        </w:tc>
        <w:tc>
          <w:tcPr/>
          <w:p>
            <w:pPr>
              <w:pStyle w:val="Compact"/>
            </w:pPr>
            <w:r>
              <w:t xml:space="preserve">녹색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✓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불합격(Rejected)</w:t>
            </w:r>
          </w:p>
        </w:tc>
        <w:tc>
          <w:tcPr/>
          <w:p>
            <w:pPr>
              <w:pStyle w:val="Compact"/>
            </w:pPr>
            <w:r>
              <w:t xml:space="preserve">적색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✗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보류(On Hold)</w:t>
            </w:r>
          </w:p>
        </w:tc>
        <w:tc>
          <w:tcPr/>
          <w:p>
            <w:pPr>
              <w:pStyle w:val="Compact"/>
            </w:pPr>
            <w:r>
              <w:t xml:space="preserve">황색</w:t>
            </w:r>
          </w:p>
        </w:tc>
        <w:tc>
          <w:tcPr/>
          <w:p>
            <w:pPr>
              <w:pStyle w:val="Compact"/>
            </w:pPr>
            <w:r>
              <w:t xml:space="preserve">▲ ON 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미검사(Pending)</w:t>
            </w:r>
          </w:p>
        </w:tc>
        <w:tc>
          <w:tcPr/>
          <w:p>
            <w:pPr>
              <w:pStyle w:val="Compact"/>
            </w:pPr>
            <w:r>
              <w:t xml:space="preserve">백색</w:t>
            </w:r>
          </w:p>
        </w:tc>
        <w:tc>
          <w:tcPr/>
          <w:p>
            <w:pPr>
              <w:pStyle w:val="Compact"/>
            </w:pPr>
            <w:r>
              <w:t xml:space="preserve">○ PENDING</w:t>
            </w:r>
          </w:p>
        </w:tc>
      </w:tr>
    </w:tbl>
    <w:bookmarkEnd w:id="19"/>
    <w:bookmarkEnd w:id="20"/>
    <w:bookmarkStart w:id="23" w:name="라벨-기재-필수-항목"/>
    <w:p>
      <w:pPr>
        <w:pStyle w:val="Heading2"/>
      </w:pPr>
      <w:r>
        <w:t xml:space="preserve">6. 라벨 기재 필수 항목</w:t>
      </w:r>
    </w:p>
    <w:bookmarkStart w:id="21" w:name="공통-필수-항목"/>
    <w:p>
      <w:pPr>
        <w:pStyle w:val="Heading3"/>
      </w:pPr>
      <w:r>
        <w:t xml:space="preserve">6.1 공통 필수 항목</w:t>
      </w:r>
    </w:p>
    <w:p>
      <w:pPr>
        <w:pStyle w:val="FirstParagraph"/>
      </w:pPr>
      <w:r>
        <w:t xml:space="preserve">모든 라벨에는 아래 항목을 반드시 기재한다.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부품번호(P/N)</w:t>
            </w:r>
          </w:p>
        </w:tc>
        <w:tc>
          <w:tcPr/>
          <w:p>
            <w:pPr>
              <w:pStyle w:val="Compact"/>
            </w:pPr>
            <w:r>
              <w:t xml:space="preserve">도면상 부품번호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ART-2026-0145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로트번호(Lot No.)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로트 부여 규칙에 따라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260415-001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수량(Qty)</w:t>
            </w:r>
          </w:p>
        </w:tc>
        <w:tc>
          <w:tcPr/>
          <w:p>
            <w:pPr>
              <w:pStyle w:val="Compact"/>
            </w:pPr>
            <w:r>
              <w:t xml:space="preserve">해당 로트 수량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150 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일자(Date)</w:t>
            </w:r>
          </w:p>
        </w:tc>
        <w:tc>
          <w:tcPr/>
          <w:p>
            <w:pPr>
              <w:pStyle w:val="Compact"/>
            </w:pPr>
            <w:r>
              <w:t xml:space="preserve">라벨 작성일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2026-04-15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작업자(Operator)</w:t>
            </w:r>
          </w:p>
        </w:tc>
        <w:tc>
          <w:tcPr/>
          <w:p>
            <w:pPr>
              <w:pStyle w:val="Compact"/>
            </w:pPr>
            <w:r>
              <w:t xml:space="preserve">작업자 사번 또는 성명</w:t>
            </w:r>
          </w:p>
        </w:tc>
        <w:tc>
          <w:tcPr/>
          <w:p>
            <w:pPr>
              <w:pStyle w:val="Compact"/>
            </w:pPr>
            <w:r>
              <w:t xml:space="preserve">NV-0023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검사상태(Status)</w:t>
            </w:r>
          </w:p>
        </w:tc>
        <w:tc>
          <w:tcPr/>
          <w:p>
            <w:pPr>
              <w:pStyle w:val="Compact"/>
            </w:pPr>
            <w:r>
              <w:t xml:space="preserve">합격/불합격/보류/미검사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</w:tbl>
    <w:bookmarkEnd w:id="21"/>
    <w:bookmarkStart w:id="22" w:name="추가-기재-항목-해당-시"/>
    <w:p>
      <w:pPr>
        <w:pStyle w:val="Heading3"/>
      </w:pPr>
      <w:r>
        <w:t xml:space="preserve">6.2 추가 기재 항목 (해당 시)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시리얼번호(S/N)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개별 추적 요구 부품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성적서 번호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원자재 라벨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P/O 번호</w:t>
            </w:r>
          </w:p>
        </w:tc>
        <w:tc>
          <w:tcPr/>
          <w:p>
            <w:pPr>
              <w:pStyle w:val="Compact"/>
            </w:pPr>
            <w:r>
              <w:t xml:space="preserve">고객 지정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유효기간(Shelf Life)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유효기간 관리 자재(접착제, 실란트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개정번호(Rev.)</w:t>
            </w:r>
          </w:p>
        </w:tc>
        <w:tc>
          <w:tcPr/>
          <w:p>
            <w:pPr>
              <w:pStyle w:val="Compact"/>
            </w:pPr>
            <w:r>
              <w:t xml:space="preserve">도면 개정 관리 시</w:t>
            </w:r>
          </w:p>
        </w:tc>
      </w:tr>
    </w:tbl>
    <w:bookmarkEnd w:id="22"/>
    <w:bookmarkEnd w:id="23"/>
    <w:bookmarkStart w:id="27" w:name="라벨-부착-방법"/>
    <w:p>
      <w:pPr>
        <w:pStyle w:val="Heading2"/>
      </w:pPr>
      <w:r>
        <w:t xml:space="preserve">7. 라벨 부착 방법</w:t>
      </w:r>
    </w:p>
    <w:bookmarkStart w:id="24" w:name="부착-위치"/>
    <w:p>
      <w:pPr>
        <w:pStyle w:val="Heading3"/>
      </w:pPr>
      <w:r>
        <w:t xml:space="preserve">7.1 부착 위치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부착 위치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원자재(봉재/판재)</w:t>
            </w:r>
          </w:p>
        </w:tc>
        <w:tc>
          <w:tcPr/>
          <w:p>
            <w:pPr>
              <w:pStyle w:val="Compact"/>
            </w:pPr>
            <w:r>
              <w:t xml:space="preserve">자재 끝단 또는 포장재 외면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 손상 방지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소형 부품 용기</w:t>
            </w:r>
          </w:p>
        </w:tc>
        <w:tc>
          <w:tcPr/>
          <w:p>
            <w:pPr>
              <w:pStyle w:val="Compact"/>
            </w:pPr>
            <w:r>
              <w:t xml:space="preserve">용기 전면 상단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쉽게 식별 가능한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대형 부품</w:t>
            </w:r>
          </w:p>
        </w:tc>
        <w:tc>
          <w:tcPr/>
          <w:p>
            <w:pPr>
              <w:pStyle w:val="Compact"/>
            </w:pPr>
            <w:r>
              <w:t xml:space="preserve">비가공면 또는 부착 가능한 태그</w:t>
            </w:r>
          </w:p>
        </w:tc>
        <w:tc>
          <w:tcPr/>
          <w:p>
            <w:pPr>
              <w:pStyle w:val="Compact"/>
            </w:pPr>
            <w:r>
              <w:t xml:space="preserve">가공면 부착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포장 박스</w:t>
            </w:r>
          </w:p>
        </w:tc>
        <w:tc>
          <w:tcPr/>
          <w:p>
            <w:pPr>
              <w:pStyle w:val="Compact"/>
            </w:pPr>
            <w:r>
              <w:t xml:space="preserve">박스 외면 2곳(전면, 측면)</w:t>
            </w:r>
          </w:p>
        </w:tc>
        <w:tc>
          <w:tcPr/>
          <w:p>
            <w:pPr>
              <w:pStyle w:val="Compact"/>
            </w:pPr>
            <w:r>
              <w:t xml:space="preserve">적재 시 가시성 확보</w:t>
            </w:r>
          </w:p>
        </w:tc>
      </w:tr>
    </w:tbl>
    <w:bookmarkEnd w:id="24"/>
    <w:bookmarkStart w:id="25" w:name="고정-방법"/>
    <w:p>
      <w:pPr>
        <w:pStyle w:val="Heading3"/>
      </w:pPr>
      <w:r>
        <w:t xml:space="preserve">7.2 고정 방법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주의사항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접착 라벨</w:t>
            </w:r>
          </w:p>
        </w:tc>
        <w:tc>
          <w:tcPr/>
          <w:p>
            <w:pPr>
              <w:pStyle w:val="Compact"/>
            </w:pPr>
            <w:r>
              <w:t xml:space="preserve">포장재, 용기, 보관함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탈락 방지 접착력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케이블 타이 태그</w:t>
            </w:r>
          </w:p>
        </w:tc>
        <w:tc>
          <w:tcPr/>
          <w:p>
            <w:pPr>
              <w:pStyle w:val="Compact"/>
            </w:pPr>
            <w:r>
              <w:t xml:space="preserve">대형/중량물, 봉재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태그 재질: 내열/내유성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와이어 태그</w:t>
            </w:r>
          </w:p>
        </w:tc>
        <w:tc>
          <w:tcPr/>
          <w:p>
            <w:pPr>
              <w:pStyle w:val="Compact"/>
            </w:pPr>
            <w:r>
              <w:t xml:space="preserve">고온 공정 전 부품</w:t>
            </w:r>
          </w:p>
        </w:tc>
        <w:tc>
          <w:tcPr/>
          <w:p>
            <w:pPr>
              <w:pStyle w:val="Compact"/>
            </w:pPr>
            <w:r>
              <w:t xml:space="preserve">와이어 고정 시 부품 손상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각인/마킹</w:t>
            </w:r>
          </w:p>
        </w:tc>
        <w:tc>
          <w:tcPr/>
          <w:p>
            <w:pPr>
              <w:pStyle w:val="Compact"/>
            </w:pPr>
            <w:r>
              <w:t xml:space="preserve">고객 요구 시</w:t>
            </w:r>
          </w:p>
        </w:tc>
        <w:tc>
          <w:tcPr/>
          <w:p>
            <w:pPr>
              <w:pStyle w:val="Compact"/>
            </w:pPr>
            <w:r>
              <w:t xml:space="preserve">도면 지정 위치, 마킹 방법 준수</w:t>
            </w:r>
          </w:p>
        </w:tc>
      </w:tr>
    </w:tbl>
    <w:bookmarkEnd w:id="25"/>
    <w:bookmarkStart w:id="26" w:name="내구성-요건"/>
    <w:p>
      <w:pPr>
        <w:pStyle w:val="Heading3"/>
      </w:pPr>
      <w:r>
        <w:t xml:space="preserve">7.3 내구성 요건</w:t>
      </w:r>
    </w:p>
    <w:p>
      <w:pPr>
        <w:pStyle w:val="Compact"/>
        <w:numPr>
          <w:ilvl w:val="0"/>
          <w:numId w:val="1003"/>
        </w:numPr>
      </w:pPr>
      <w:r>
        <w:t xml:space="preserve">라벨은 해당 공정 환경(온도, 습도, 유류, 세정액)에서 판독 가능해야 한다.</w:t>
      </w:r>
    </w:p>
    <w:p>
      <w:pPr>
        <w:pStyle w:val="Compact"/>
        <w:numPr>
          <w:ilvl w:val="0"/>
          <w:numId w:val="1003"/>
        </w:numPr>
      </w:pPr>
      <w:r>
        <w:t xml:space="preserve">표면처리/도금 전 공정 라벨은 내약품성 재질을 사용한다.</w:t>
      </w:r>
    </w:p>
    <w:p>
      <w:pPr>
        <w:pStyle w:val="Compact"/>
        <w:numPr>
          <w:ilvl w:val="0"/>
          <w:numId w:val="1003"/>
        </w:numPr>
      </w:pPr>
      <w:r>
        <w:t xml:space="preserve">옥외 보관 자재 라벨은 방수 재질을 사용한다.</w:t>
      </w:r>
    </w:p>
    <w:p>
      <w:pPr>
        <w:pStyle w:val="Compact"/>
        <w:numPr>
          <w:ilvl w:val="0"/>
          <w:numId w:val="1003"/>
        </w:numPr>
      </w:pPr>
      <w:r>
        <w:t xml:space="preserve">라벨 인쇄 잉크는 번짐 방지 처리된 것을 사용한다.</w:t>
      </w:r>
    </w:p>
    <w:bookmarkEnd w:id="26"/>
    <w:bookmarkEnd w:id="27"/>
    <w:bookmarkStart w:id="31" w:name="로트번호-부여-규칙"/>
    <w:p>
      <w:pPr>
        <w:pStyle w:val="Heading2"/>
      </w:pPr>
      <w:r>
        <w:t xml:space="preserve">8. 로트번호 부여 규칙</w:t>
      </w:r>
    </w:p>
    <w:bookmarkStart w:id="28" w:name="로트번호-형식"/>
    <w:p>
      <w:pPr>
        <w:pStyle w:val="Heading3"/>
      </w:pPr>
      <w:r>
        <w:t xml:space="preserve">8.1 로트번호 형식</w:t>
      </w:r>
    </w:p>
    <w:p>
      <w:pPr>
        <w:pStyle w:val="SourceCode"/>
      </w:pPr>
      <w:r>
        <w:rPr>
          <w:rStyle w:val="VerbatimChar"/>
        </w:rPr>
        <w:t xml:space="preserve">YYMMDD-NNN</w:t>
      </w:r>
      <w:r>
        <w:br/>
      </w:r>
      <w:r>
        <w:br/>
      </w:r>
      <w:r>
        <w:rPr>
          <w:rStyle w:val="VerbatimChar"/>
        </w:rPr>
        <w:t xml:space="preserve">YY  : 연도 끝 2자리 (예: 26 = 2026년)</w:t>
      </w:r>
      <w:r>
        <w:br/>
      </w:r>
      <w:r>
        <w:rPr>
          <w:rStyle w:val="VerbatimChar"/>
        </w:rPr>
        <w:t xml:space="preserve">MM  : 월 2자리 (예: 04 = 4월)</w:t>
      </w:r>
      <w:r>
        <w:br/>
      </w:r>
      <w:r>
        <w:rPr>
          <w:rStyle w:val="VerbatimChar"/>
        </w:rPr>
        <w:t xml:space="preserve">DD  : 일 2자리 (예: 15 = 15일)</w:t>
      </w:r>
      <w:r>
        <w:br/>
      </w:r>
      <w:r>
        <w:rPr>
          <w:rStyle w:val="VerbatimChar"/>
        </w:rPr>
        <w:t xml:space="preserve">NNN : 당일 순번 3자리 (001부터 시작)</w:t>
      </w:r>
    </w:p>
    <w:p>
      <w:pPr>
        <w:pStyle w:val="FirstParagraph"/>
      </w:pPr>
      <w:r>
        <w:rPr>
          <w:b/>
          <w:bCs/>
        </w:rPr>
        <w:t xml:space="preserve">예시</w:t>
      </w:r>
      <w:r>
        <w:t xml:space="preserve">:</w:t>
      </w:r>
      <w:r>
        <w:t xml:space="preserve"> </w:t>
      </w:r>
      <w:r>
        <w:rPr>
          <w:rStyle w:val="VerbatimChar"/>
        </w:rPr>
        <w:t xml:space="preserve">260415-001</w:t>
      </w:r>
      <w:r>
        <w:t xml:space="preserve"> </w:t>
      </w:r>
      <w:r>
        <w:t xml:space="preserve">= 2026년 4월 15일 첫 번째 로트</w:t>
      </w:r>
    </w:p>
    <w:bookmarkEnd w:id="28"/>
    <w:bookmarkStart w:id="29" w:name="로트번호-부여-시점"/>
    <w:p>
      <w:pPr>
        <w:pStyle w:val="Heading3"/>
      </w:pPr>
      <w:r>
        <w:t xml:space="preserve">8.2 로트번호 부여 시점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95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시점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입고 시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수입검사 합격 후 로트번호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분리 시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1개 로트가 2개 이상으로 분리될 경우 하위 로트 부여 (예: 260415-001A, -001B)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재작업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 로트번호에</w:t>
            </w:r>
            <w:r>
              <w:t xml:space="preserve"> </w:t>
            </w:r>
            <w:r>
              <w:t xml:space="preserve">“-RW”</w:t>
            </w:r>
            <w:r>
              <w:t xml:space="preserve"> </w:t>
            </w:r>
            <w:r>
              <w:t xml:space="preserve">접미사 추가 (예: 260415-001-RW)</w:t>
            </w:r>
          </w:p>
        </w:tc>
      </w:tr>
    </w:tbl>
    <w:bookmarkEnd w:id="29"/>
    <w:bookmarkStart w:id="30" w:name="로트번호-관리대장"/>
    <w:p>
      <w:pPr>
        <w:pStyle w:val="Heading3"/>
      </w:pPr>
      <w:r>
        <w:t xml:space="preserve">8.3 로트번호 관리대장</w:t>
      </w:r>
    </w:p>
    <w:p>
      <w:pPr>
        <w:pStyle w:val="Compact"/>
        <w:numPr>
          <w:ilvl w:val="0"/>
          <w:numId w:val="1004"/>
        </w:numPr>
      </w:pPr>
      <w:r>
        <w:t xml:space="preserve">로트번호 발행 시 로트번호 관리대장(전산 또는 수기)에 등록한다.</w:t>
      </w:r>
    </w:p>
    <w:p>
      <w:pPr>
        <w:pStyle w:val="Compact"/>
        <w:numPr>
          <w:ilvl w:val="0"/>
          <w:numId w:val="1004"/>
        </w:numPr>
      </w:pPr>
      <w:r>
        <w:t xml:space="preserve">관리대장 기재 항목: 로트번호, 부품번호, 수량, 발행일, 발행자</w:t>
      </w:r>
    </w:p>
    <w:bookmarkEnd w:id="30"/>
    <w:bookmarkEnd w:id="31"/>
    <w:bookmarkStart w:id="35" w:name="바코드-라벨-인쇄-및-스캔-방법"/>
    <w:p>
      <w:pPr>
        <w:pStyle w:val="Heading2"/>
      </w:pPr>
      <w:r>
        <w:t xml:space="preserve">9. 바코드 라벨 인쇄 및 스캔 방법</w:t>
      </w:r>
    </w:p>
    <w:bookmarkStart w:id="32" w:name="바코드-규격"/>
    <w:p>
      <w:pPr>
        <w:pStyle w:val="Heading3"/>
      </w:pPr>
      <w:r>
        <w:t xml:space="preserve">9.1 바코드 규격</w:t>
      </w:r>
    </w:p>
    <w:p>
      <w:pPr>
        <w:pStyle w:val="Compact"/>
        <w:numPr>
          <w:ilvl w:val="0"/>
          <w:numId w:val="1005"/>
        </w:numPr>
      </w:pPr>
      <w:r>
        <w:t xml:space="preserve">1D 바코드: Code 128 형식 사용</w:t>
      </w:r>
    </w:p>
    <w:p>
      <w:pPr>
        <w:pStyle w:val="Compact"/>
        <w:numPr>
          <w:ilvl w:val="0"/>
          <w:numId w:val="1005"/>
        </w:numPr>
      </w:pPr>
      <w:r>
        <w:t xml:space="preserve">2D 바코드: QR Code 형식 사용 (고객 요구 시)</w:t>
      </w:r>
    </w:p>
    <w:p>
      <w:pPr>
        <w:pStyle w:val="Compact"/>
        <w:numPr>
          <w:ilvl w:val="0"/>
          <w:numId w:val="1005"/>
        </w:numPr>
      </w:pPr>
      <w:r>
        <w:t xml:space="preserve">바코드 내용: 로트번호 + 부품번호 조합</w:t>
      </w:r>
    </w:p>
    <w:bookmarkEnd w:id="32"/>
    <w:bookmarkStart w:id="33" w:name="인쇄-방법"/>
    <w:p>
      <w:pPr>
        <w:pStyle w:val="Heading3"/>
      </w:pPr>
      <w:r>
        <w:t xml:space="preserve">9.2 인쇄 방법</w:t>
      </w:r>
    </w:p>
    <w:p>
      <w:pPr>
        <w:pStyle w:val="Compact"/>
        <w:numPr>
          <w:ilvl w:val="0"/>
          <w:numId w:val="1006"/>
        </w:numPr>
      </w:pPr>
      <w:r>
        <w:t xml:space="preserve">바코드 인쇄 프로그램에 로트번호, 부품번호 입력</w:t>
      </w:r>
    </w:p>
    <w:p>
      <w:pPr>
        <w:pStyle w:val="Compact"/>
        <w:numPr>
          <w:ilvl w:val="0"/>
          <w:numId w:val="1006"/>
        </w:numPr>
      </w:pPr>
      <w:r>
        <w:t xml:space="preserve">인쇄 미리보기로 정보 정확성 확인</w:t>
      </w:r>
    </w:p>
    <w:p>
      <w:pPr>
        <w:pStyle w:val="Compact"/>
        <w:numPr>
          <w:ilvl w:val="0"/>
          <w:numId w:val="1006"/>
        </w:numPr>
      </w:pPr>
      <w:r>
        <w:t xml:space="preserve">라벨 프린터로 인쇄 (해상도: 최소 300dpi)</w:t>
      </w:r>
    </w:p>
    <w:p>
      <w:pPr>
        <w:pStyle w:val="Compact"/>
        <w:numPr>
          <w:ilvl w:val="0"/>
          <w:numId w:val="1006"/>
        </w:numPr>
      </w:pPr>
      <w:r>
        <w:t xml:space="preserve">인쇄 후 바코드 스캐너로 판독 테스트 실시</w:t>
      </w:r>
    </w:p>
    <w:p>
      <w:pPr>
        <w:pStyle w:val="Compact"/>
        <w:numPr>
          <w:ilvl w:val="0"/>
          <w:numId w:val="1006"/>
        </w:numPr>
      </w:pPr>
      <w:r>
        <w:t xml:space="preserve">판독 불가 시 재인쇄</w:t>
      </w:r>
    </w:p>
    <w:bookmarkEnd w:id="33"/>
    <w:bookmarkStart w:id="34" w:name="스캔-방법"/>
    <w:p>
      <w:pPr>
        <w:pStyle w:val="Heading3"/>
      </w:pPr>
      <w:r>
        <w:t xml:space="preserve">9.3 스캔 방법</w:t>
      </w:r>
    </w:p>
    <w:p>
      <w:pPr>
        <w:pStyle w:val="Compact"/>
        <w:numPr>
          <w:ilvl w:val="0"/>
          <w:numId w:val="1007"/>
        </w:numPr>
      </w:pPr>
      <w:r>
        <w:t xml:space="preserve">공정 투입/완료 시 바코드 스캔으로 이력 등록</w:t>
      </w:r>
    </w:p>
    <w:p>
      <w:pPr>
        <w:pStyle w:val="Compact"/>
        <w:numPr>
          <w:ilvl w:val="0"/>
          <w:numId w:val="1007"/>
        </w:numPr>
      </w:pPr>
      <w:r>
        <w:t xml:space="preserve">스캔 실패 시 수기 입력 후 시스템 담당자에게 보고</w:t>
      </w:r>
    </w:p>
    <w:p>
      <w:pPr>
        <w:pStyle w:val="Compact"/>
        <w:numPr>
          <w:ilvl w:val="0"/>
          <w:numId w:val="1007"/>
        </w:numPr>
      </w:pPr>
      <w:r>
        <w:t xml:space="preserve">스캔 기록은 MES/ERP 시스템에 자동 저장</w:t>
      </w:r>
    </w:p>
    <w:bookmarkEnd w:id="34"/>
    <w:bookmarkEnd w:id="35"/>
    <w:bookmarkStart w:id="39" w:name="공정-이동표lot-traveler-기입-요령"/>
    <w:p>
      <w:pPr>
        <w:pStyle w:val="Heading2"/>
      </w:pPr>
      <w:r>
        <w:t xml:space="preserve">10. 공정 이동표(Lot Traveler) 기입 요령</w:t>
      </w:r>
    </w:p>
    <w:bookmarkStart w:id="36" w:name="lot-traveler-구성"/>
    <w:p>
      <w:pPr>
        <w:pStyle w:val="Heading3"/>
      </w:pPr>
      <w:r>
        <w:t xml:space="preserve">10.1 Lot Traveler 구성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섹션</w:t>
            </w:r>
          </w:p>
        </w:tc>
        <w:tc>
          <w:tcPr>
            <w:tcW w:w="69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기재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헤더</w:t>
            </w:r>
          </w:p>
        </w:tc>
        <w:tc>
          <w:tcPr>
            <w:tcW w:w="69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부품번호, 로트번호, 수량, 작업지시서 번호, 도면 개정번호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공정란</w:t>
            </w:r>
          </w:p>
        </w:tc>
        <w:tc>
          <w:tcPr>
            <w:tcW w:w="69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공정명, 작업일, 작업자, 양품/불량 수량, 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검사란</w:t>
            </w:r>
          </w:p>
        </w:tc>
        <w:tc>
          <w:tcPr/>
          <w:p>
            <w:pPr>
              <w:pStyle w:val="Compact"/>
            </w:pPr>
            <w:r>
              <w:t xml:space="preserve">검사 항목, 결과(합격/불합격), 검사자, 검사일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특이사항란</w:t>
            </w:r>
          </w:p>
        </w:tc>
        <w:tc>
          <w:tcPr>
            <w:tcW w:w="69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4M 변경, 이상 발생, 재작업 내역</w:t>
            </w:r>
          </w:p>
        </w:tc>
      </w:tr>
    </w:tbl>
    <w:bookmarkEnd w:id="36"/>
    <w:bookmarkStart w:id="37" w:name="기입-규칙"/>
    <w:p>
      <w:pPr>
        <w:pStyle w:val="Heading3"/>
      </w:pPr>
      <w:r>
        <w:t xml:space="preserve">10.2 기입 규칙</w:t>
      </w:r>
    </w:p>
    <w:p>
      <w:pPr>
        <w:pStyle w:val="Compact"/>
        <w:numPr>
          <w:ilvl w:val="0"/>
          <w:numId w:val="1008"/>
        </w:numPr>
      </w:pPr>
      <w:r>
        <w:t xml:space="preserve">반드시 볼펜(청색 또는 흑색)으로 기재한다. 연필 사용 금지.</w:t>
      </w:r>
    </w:p>
    <w:p>
      <w:pPr>
        <w:pStyle w:val="Compact"/>
        <w:numPr>
          <w:ilvl w:val="0"/>
          <w:numId w:val="1008"/>
        </w:numPr>
      </w:pPr>
      <w:r>
        <w:t xml:space="preserve">오기 시 두 줄 긋고 정정, 정정자 서명 및 일자 기재 (수정액/수정테이프 사용 금지)</w:t>
      </w:r>
    </w:p>
    <w:p>
      <w:pPr>
        <w:pStyle w:val="Compact"/>
        <w:numPr>
          <w:ilvl w:val="0"/>
          <w:numId w:val="1008"/>
        </w:numPr>
      </w:pPr>
      <w:r>
        <w:t xml:space="preserve">각 공정 완료 시 해당 공정란에 즉시 기입한다. 사후 일괄 기입 금지.</w:t>
      </w:r>
    </w:p>
    <w:p>
      <w:pPr>
        <w:pStyle w:val="Compact"/>
        <w:numPr>
          <w:ilvl w:val="0"/>
          <w:numId w:val="1008"/>
        </w:numPr>
      </w:pPr>
      <w:r>
        <w:t xml:space="preserve">공란은 빈칸으로 두지 않고 사선(/)으로 말소한다.</w:t>
      </w:r>
    </w:p>
    <w:p>
      <w:pPr>
        <w:pStyle w:val="Compact"/>
        <w:numPr>
          <w:ilvl w:val="0"/>
          <w:numId w:val="1008"/>
        </w:numPr>
      </w:pPr>
      <w:r>
        <w:t xml:space="preserve">Lot Traveler는 해당 로트와 반드시 함께 이동한다.</w:t>
      </w:r>
    </w:p>
    <w:bookmarkEnd w:id="37"/>
    <w:bookmarkStart w:id="38" w:name="lot-traveler-보관"/>
    <w:p>
      <w:pPr>
        <w:pStyle w:val="Heading3"/>
      </w:pPr>
      <w:r>
        <w:t xml:space="preserve">10.3 Lot Traveler 보관</w:t>
      </w:r>
    </w:p>
    <w:p>
      <w:pPr>
        <w:pStyle w:val="Compact"/>
        <w:numPr>
          <w:ilvl w:val="0"/>
          <w:numId w:val="1009"/>
        </w:numPr>
      </w:pPr>
      <w:r>
        <w:t xml:space="preserve">완료된 Lot Traveler는 품질 부서에서 수거하여 보관</w:t>
      </w:r>
    </w:p>
    <w:p>
      <w:pPr>
        <w:pStyle w:val="Compact"/>
        <w:numPr>
          <w:ilvl w:val="0"/>
          <w:numId w:val="1009"/>
        </w:numPr>
      </w:pPr>
      <w:r>
        <w:t xml:space="preserve">보관 기간: 제품 수명 + 3년 (또는 고객 계약 요구사항에 따름)</w:t>
      </w:r>
    </w:p>
    <w:bookmarkEnd w:id="38"/>
    <w:bookmarkEnd w:id="39"/>
    <w:bookmarkStart w:id="42" w:name="라벨-손상-및-분실-시-처리"/>
    <w:p>
      <w:pPr>
        <w:pStyle w:val="Heading2"/>
      </w:pPr>
      <w:r>
        <w:t xml:space="preserve">11. 라벨 손상 및 분실 시 처리</w:t>
      </w:r>
    </w:p>
    <w:bookmarkStart w:id="40" w:name="라벨-손상-시"/>
    <w:p>
      <w:pPr>
        <w:pStyle w:val="Heading3"/>
      </w:pPr>
      <w:r>
        <w:t xml:space="preserve">11.1 라벨 손상 시</w:t>
      </w:r>
    </w:p>
    <w:p>
      <w:pPr>
        <w:pStyle w:val="Compact"/>
        <w:numPr>
          <w:ilvl w:val="0"/>
          <w:numId w:val="1010"/>
        </w:numPr>
      </w:pPr>
      <w:r>
        <w:t xml:space="preserve">손상 라벨을 제거하지 않고, 새 라벨을 인접 위치에 부착</w:t>
      </w:r>
    </w:p>
    <w:p>
      <w:pPr>
        <w:pStyle w:val="Compact"/>
        <w:numPr>
          <w:ilvl w:val="0"/>
          <w:numId w:val="1010"/>
        </w:numPr>
      </w:pPr>
      <w:r>
        <w:t xml:space="preserve">손상 사유를 Lot Traveler 특이사항란에 기록</w:t>
      </w:r>
    </w:p>
    <w:p>
      <w:pPr>
        <w:pStyle w:val="Compact"/>
        <w:numPr>
          <w:ilvl w:val="0"/>
          <w:numId w:val="1010"/>
        </w:numPr>
      </w:pPr>
      <w:r>
        <w:t xml:space="preserve">바코드 라벨 손상 시 재인쇄 후 판독 테스트 실시</w:t>
      </w:r>
    </w:p>
    <w:bookmarkEnd w:id="40"/>
    <w:bookmarkStart w:id="41" w:name="라벨-분실-시"/>
    <w:p>
      <w:pPr>
        <w:pStyle w:val="Heading3"/>
      </w:pPr>
      <w:r>
        <w:t xml:space="preserve">11.2 라벨 분실 시</w:t>
      </w:r>
    </w:p>
    <w:p>
      <w:pPr>
        <w:pStyle w:val="Compact"/>
        <w:numPr>
          <w:ilvl w:val="0"/>
          <w:numId w:val="1011"/>
        </w:numPr>
      </w:pPr>
      <w:r>
        <w:t xml:space="preserve">작업을 즉시 중단하고 관리자에게 보고</w:t>
      </w:r>
    </w:p>
    <w:p>
      <w:pPr>
        <w:pStyle w:val="Compact"/>
        <w:numPr>
          <w:ilvl w:val="0"/>
          <w:numId w:val="1011"/>
        </w:numPr>
      </w:pPr>
      <w:r>
        <w:t xml:space="preserve">라벨 재발행 요청서(QF-812-02)를 작성</w:t>
      </w:r>
    </w:p>
    <w:p>
      <w:pPr>
        <w:pStyle w:val="Compact"/>
        <w:numPr>
          <w:ilvl w:val="0"/>
          <w:numId w:val="1011"/>
        </w:numPr>
      </w:pPr>
      <w:r>
        <w:t xml:space="preserve">해당 로트의 Lot Traveler, 작업일보, 시스템 기록을 통해 로트 확인</w:t>
      </w:r>
    </w:p>
    <w:p>
      <w:pPr>
        <w:pStyle w:val="Compact"/>
        <w:numPr>
          <w:ilvl w:val="0"/>
          <w:numId w:val="1011"/>
        </w:numPr>
      </w:pPr>
      <w:r>
        <w:t xml:space="preserve">확인 완료 후 라벨 재발행 및 부착</w:t>
      </w:r>
    </w:p>
    <w:p>
      <w:pPr>
        <w:pStyle w:val="Compact"/>
        <w:numPr>
          <w:ilvl w:val="0"/>
          <w:numId w:val="1011"/>
        </w:numPr>
      </w:pPr>
      <w:r>
        <w:t xml:space="preserve">재발행 이력을 Lot Traveler 특이사항란에 기록</w:t>
      </w:r>
    </w:p>
    <w:bookmarkEnd w:id="41"/>
    <w:bookmarkEnd w:id="42"/>
    <w:bookmarkStart w:id="46" w:name="식별-불가-자재-처리"/>
    <w:p>
      <w:pPr>
        <w:pStyle w:val="Heading2"/>
      </w:pPr>
      <w:r>
        <w:t xml:space="preserve">12. 식별 불가 자재 처리</w:t>
      </w:r>
    </w:p>
    <w:bookmarkStart w:id="43" w:name="식별-불가-판정-기준"/>
    <w:p>
      <w:pPr>
        <w:pStyle w:val="Heading3"/>
      </w:pPr>
      <w:r>
        <w:t xml:space="preserve">12.1 식별 불가 판정 기준</w:t>
      </w:r>
    </w:p>
    <w:p>
      <w:pPr>
        <w:pStyle w:val="Compact"/>
        <w:numPr>
          <w:ilvl w:val="0"/>
          <w:numId w:val="1012"/>
        </w:numPr>
      </w:pPr>
      <w:r>
        <w:t xml:space="preserve">라벨이 없거나 완전히 훼손되어 판독 불가한 경우</w:t>
      </w:r>
    </w:p>
    <w:p>
      <w:pPr>
        <w:pStyle w:val="Compact"/>
        <w:numPr>
          <w:ilvl w:val="0"/>
          <w:numId w:val="1012"/>
        </w:numPr>
      </w:pPr>
      <w:r>
        <w:t xml:space="preserve">라벨 정보와 실물이 일치하지 않는 경우</w:t>
      </w:r>
    </w:p>
    <w:p>
      <w:pPr>
        <w:pStyle w:val="Compact"/>
        <w:numPr>
          <w:ilvl w:val="0"/>
          <w:numId w:val="1012"/>
        </w:numPr>
      </w:pPr>
      <w:r>
        <w:t xml:space="preserve">로트번호, 부품번호를 어떠한 기록으로도 확인할 수 없는 경우</w:t>
      </w:r>
    </w:p>
    <w:bookmarkEnd w:id="43"/>
    <w:bookmarkStart w:id="44" w:name="처리-절차"/>
    <w:p>
      <w:pPr>
        <w:pStyle w:val="Heading3"/>
      </w:pPr>
      <w:r>
        <w:t xml:space="preserve">12.2 처리 절차</w:t>
      </w:r>
    </w:p>
    <w:p>
      <w:pPr>
        <w:pStyle w:val="SourceCode"/>
      </w:pPr>
      <w:r>
        <w:rPr>
          <w:rStyle w:val="VerbatimChar"/>
        </w:rPr>
        <w:t xml:space="preserve">식별 불가 발견 → 즉시 격리 (적색 태그 부착)</w:t>
      </w:r>
      <w:r>
        <w:br/>
      </w:r>
      <w:r>
        <w:rPr>
          <w:rStyle w:val="VerbatimChar"/>
        </w:rPr>
        <w:t xml:space="preserve">    → 품질 부서 보고</w:t>
      </w:r>
      <w:r>
        <w:br/>
      </w:r>
      <w:r>
        <w:rPr>
          <w:rStyle w:val="VerbatimChar"/>
        </w:rPr>
        <w:t xml:space="preserve">    → 조사 실시 (작업일보, 시스템 기록, 인근 로트 확인)</w:t>
      </w:r>
      <w:r>
        <w:br/>
      </w:r>
      <w:r>
        <w:rPr>
          <w:rStyle w:val="VerbatimChar"/>
        </w:rPr>
        <w:t xml:space="preserve">    → [재식별 가능] → 라벨 재발행 후 복귀</w:t>
      </w:r>
      <w:r>
        <w:br/>
      </w:r>
      <w:r>
        <w:rPr>
          <w:rStyle w:val="VerbatimChar"/>
        </w:rPr>
        <w:t xml:space="preserve">    → [재식별 불가] → 부적합품 처리 절차(QP-815) 적용 → 폐기 또는 고객 협의</w:t>
      </w:r>
    </w:p>
    <w:bookmarkEnd w:id="44"/>
    <w:bookmarkStart w:id="45" w:name="기록"/>
    <w:p>
      <w:pPr>
        <w:pStyle w:val="Heading3"/>
      </w:pPr>
      <w:r>
        <w:t xml:space="preserve">12.3 기록</w:t>
      </w:r>
    </w:p>
    <w:p>
      <w:pPr>
        <w:pStyle w:val="Compact"/>
        <w:numPr>
          <w:ilvl w:val="0"/>
          <w:numId w:val="1013"/>
        </w:numPr>
      </w:pPr>
      <w:r>
        <w:t xml:space="preserve">식별 불가 자재 발생 건을 부적합 보고서로 기록</w:t>
      </w:r>
    </w:p>
    <w:p>
      <w:pPr>
        <w:pStyle w:val="Compact"/>
        <w:numPr>
          <w:ilvl w:val="0"/>
          <w:numId w:val="1013"/>
        </w:numPr>
      </w:pPr>
      <w:r>
        <w:t xml:space="preserve">재발 방지 대책 수립 및 시행</w:t>
      </w:r>
    </w:p>
    <w:bookmarkEnd w:id="45"/>
    <w:bookmarkEnd w:id="46"/>
    <w:bookmarkStart w:id="47" w:name="주의사항"/>
    <w:p>
      <w:pPr>
        <w:pStyle w:val="Heading2"/>
      </w:pPr>
      <w:r>
        <w:t xml:space="preserve">13. 주의사항</w:t>
      </w:r>
    </w:p>
    <w:p>
      <w:pPr>
        <w:pStyle w:val="Compact"/>
        <w:numPr>
          <w:ilvl w:val="0"/>
          <w:numId w:val="1014"/>
        </w:numPr>
      </w:pPr>
      <w:r>
        <w:t xml:space="preserve">라벨이 없는 자재/부품은 절대 사용하거나 다음 공정으로 이동시키지 않는다.</w:t>
      </w:r>
    </w:p>
    <w:p>
      <w:pPr>
        <w:pStyle w:val="Compact"/>
        <w:numPr>
          <w:ilvl w:val="0"/>
          <w:numId w:val="1014"/>
        </w:numPr>
      </w:pPr>
      <w:r>
        <w:t xml:space="preserve">라벨 정보를 임의로 수정하거나 덮어쓰지 않는다.</w:t>
      </w:r>
    </w:p>
    <w:p>
      <w:pPr>
        <w:pStyle w:val="Compact"/>
        <w:numPr>
          <w:ilvl w:val="0"/>
          <w:numId w:val="1014"/>
        </w:numPr>
      </w:pPr>
      <w:r>
        <w:t xml:space="preserve">라벨 부착 시 부품 기능면(가공면, 밀봉면 등)에 직접 부착하지 않는다.</w:t>
      </w:r>
    </w:p>
    <w:p>
      <w:pPr>
        <w:pStyle w:val="Compact"/>
        <w:numPr>
          <w:ilvl w:val="0"/>
          <w:numId w:val="1014"/>
        </w:numPr>
      </w:pPr>
      <w:r>
        <w:t xml:space="preserve">유효기간 관리 자재는 선입선출(FIFO) 원칙을 적용한다.</w:t>
      </w:r>
    </w:p>
    <w:p>
      <w:pPr>
        <w:pStyle w:val="Compact"/>
        <w:numPr>
          <w:ilvl w:val="0"/>
          <w:numId w:val="1014"/>
        </w:numPr>
      </w:pPr>
      <w:r>
        <w:t xml:space="preserve">부적합품 라벨(적색)이 부착된 자재는 지정 격리 구역에만 보관한다.</w:t>
      </w:r>
    </w:p>
    <w:p>
      <w:pPr>
        <w:pStyle w:val="Compact"/>
        <w:numPr>
          <w:ilvl w:val="0"/>
          <w:numId w:val="1014"/>
        </w:numPr>
      </w:pPr>
      <w:r>
        <w:t xml:space="preserve">Lot Traveler와 실물의 수량이 일치하지 않을 경우 즉시 작업을 중단하고 조사한다.</w:t>
      </w:r>
    </w:p>
    <w:p>
      <w:pPr>
        <w:pStyle w:val="Compact"/>
        <w:numPr>
          <w:ilvl w:val="0"/>
          <w:numId w:val="1014"/>
        </w:numPr>
      </w:pPr>
      <w:r>
        <w:t xml:space="preserve">바코드 스캔 시 오류가 반복될 경우 장비 점검을 요청한다.</w:t>
      </w:r>
    </w:p>
    <w:p>
      <w:pPr>
        <w:pStyle w:val="Compact"/>
        <w:numPr>
          <w:ilvl w:val="0"/>
          <w:numId w:val="1014"/>
        </w:numPr>
      </w:pPr>
      <w:r>
        <w:t xml:space="preserve">고객 지급품은 고객 라벨을 제거하지 않고, 자사 라벨을 추가 부착한다.</w:t>
      </w:r>
    </w:p>
    <w:p>
      <w:pPr>
        <w:pStyle w:val="Compact"/>
        <w:numPr>
          <w:ilvl w:val="0"/>
          <w:numId w:val="1014"/>
        </w:numPr>
      </w:pPr>
      <w:r>
        <w:t xml:space="preserve">라벨 인쇄 장비는 월 1회 이상 점검하여 인쇄 품질을 유지한다.</w:t>
      </w:r>
    </w:p>
    <w:p>
      <w:pPr>
        <w:pStyle w:val="Compact"/>
        <w:numPr>
          <w:ilvl w:val="0"/>
          <w:numId w:val="1014"/>
        </w:numPr>
      </w:pPr>
      <w:r>
        <w:t xml:space="preserve">본 지침서와 상이한 고객별 식별 요구사항이 있을 경우, 고객 요구사항을 우선 적용한다.</w:t>
      </w:r>
    </w:p>
    <w:p>
      <w:pPr>
        <w:pStyle w:val="BlockText"/>
      </w:pPr>
      <w:r>
        <w:rPr>
          <w:b/>
          <w:bCs/>
        </w:rPr>
        <w:t xml:space="preserve">문서 끝</w:t>
      </w:r>
      <w:r>
        <w:t xml:space="preserve"> </w:t>
      </w:r>
      <w:r>
        <w:t xml:space="preserve">| WI-809-01 Rev. 0</w:t>
      </w:r>
    </w:p>
    <w:bookmarkEnd w:id="47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부품 식별 및 라벨링 지침서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부품 식별 및 라벨링 지침서</w:t>
    </w:r>
    <w:r>
      <w:tab/>
    </w:r>
    <w:r>
      <w:rPr>
        <w:sz w:val="18"/>
      </w:rPr>
      <w:t>WI-809-01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부품 식별 및 라벨링 지침서</dc:title>
  <dc:creator/>
  <cp:keywords/>
  <dcterms:created xsi:type="dcterms:W3CDTF">2026-04-10T08:21:10Z</dcterms:created>
  <dcterms:modified xsi:type="dcterms:W3CDTF">2026-04-10T08:21:10Z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WI-809-01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