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2026년 4월 제조원가 분석 의견서</w:t>
      </w:r>
    </w:p>
    <w:p>
      <w:pPr>
        <w:spacing w:after="120" w:before="0"/>
        <w:jc w:val="center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95959"/>
          <w:sz w:val="18"/>
          <w:szCs w:val="18"/>
        </w:rPr>
        <w:t xml:space="preserve">(3월 대비 매출액 대비 제조원가 증가 사유 보고)</w:t>
      </w:r>
    </w:p>
    <w:p>
      <w:pPr>
        <w:spacing w:after="100"/>
        <w:jc w:val="right"/>
      </w:pPr>
      <w:r>
        <w:rPr>
          <w:rFonts w:ascii="맑은 고딕" w:cs="맑은 고딕" w:eastAsia="맑은 고딕" w:hAnsi="맑은 고딕"/>
          <w:color w:val="595959"/>
          <w:sz w:val="16"/>
          <w:szCs w:val="16"/>
        </w:rPr>
        <w:t xml:space="preserve">작성일: 2026.05.11   |   작성자: 경영재무팀</w:t>
      </w:r>
    </w:p>
    <w:p>
      <w:pPr>
        <w:spacing w:after="80" w:before="60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305496"/>
          <w:sz w:val="22"/>
          <w:szCs w:val="22"/>
        </w:rPr>
        <w:t xml:space="preserve">1. 핵심 요약 (Executive Summary)</w:t>
      </w:r>
    </w:p>
    <w:p>
      <w:pPr>
        <w:spacing w:after="6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19"/>
          <w:szCs w:val="19"/>
        </w:rPr>
        <w:t xml:space="preserve">• 4월 매출액은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000000"/>
          <w:sz w:val="19"/>
          <w:szCs w:val="19"/>
        </w:rPr>
        <w:t xml:space="preserve">$3,294K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19"/>
          <w:szCs w:val="19"/>
        </w:rPr>
        <w:t xml:space="preserve">로 3월 대비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C00000"/>
          <w:sz w:val="19"/>
          <w:szCs w:val="19"/>
        </w:rPr>
        <w:t xml:space="preserve">$802K (▼19.6%) 감소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19"/>
          <w:szCs w:val="19"/>
        </w:rPr>
        <w:t xml:space="preserve">하였으나, 제조원가는 ▼$139K 감소에 그쳐</w:t>
      </w:r>
    </w:p>
    <w:p>
      <w:pPr>
        <w:spacing w:after="12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19"/>
          <w:szCs w:val="19"/>
        </w:rPr>
        <w:t xml:space="preserve">• 매출 대비 제조원가 비율은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C00000"/>
          <w:sz w:val="19"/>
          <w:szCs w:val="19"/>
        </w:rPr>
        <w:t xml:space="preserve">3월 69.7% → 4월 82.5% (+12.7%p)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19"/>
          <w:szCs w:val="19"/>
        </w:rPr>
        <w:t xml:space="preserve"> 로 크게 악화</w:t>
      </w:r>
    </w:p>
    <w:p>
      <w:pPr>
        <w:spacing w:after="80" w:before="60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305496"/>
          <w:sz w:val="22"/>
          <w:szCs w:val="22"/>
        </w:rPr>
        <w:t xml:space="preserve">2. 매출액 대비 증가 항목 (단위: USD)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300"/>
        <w:gridCol w:w="1300"/>
        <w:gridCol w:w="1300"/>
        <w:gridCol w:w="1130"/>
        <w:gridCol w:w="2130"/>
      </w:tblGrid>
      <w:tr>
        <w:trPr>
          <w:tblHeader/>
        </w:trPr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30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1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30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3월</w:t>
            </w:r>
          </w:p>
        </w:tc>
        <w:tc>
          <w:tcPr>
            <w:tcW w:type="dxa" w:w="1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30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4월</w:t>
            </w:r>
          </w:p>
        </w:tc>
        <w:tc>
          <w:tcPr>
            <w:tcW w:type="dxa" w:w="1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30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증감(USD)</w:t>
            </w:r>
          </w:p>
        </w:tc>
        <w:tc>
          <w:tcPr>
            <w:tcW w:type="dxa" w:w="11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30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매출比 변동</w:t>
            </w:r>
          </w:p>
        </w:tc>
        <w:tc>
          <w:tcPr>
            <w:tcW w:type="dxa" w:w="21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30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주요 사유</w:t>
            </w:r>
          </w:p>
        </w:tc>
      </w:tr>
      <w:tr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매출액 (Total)</w:t>
            </w:r>
          </w:p>
        </w:tc>
        <w:tc>
          <w:tcPr>
            <w:tcW w:type="dxa" w:w="1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4,096,510</w:t>
            </w:r>
          </w:p>
        </w:tc>
        <w:tc>
          <w:tcPr>
            <w:tcW w:type="dxa" w:w="1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3,294,606</w:t>
            </w:r>
          </w:p>
        </w:tc>
        <w:tc>
          <w:tcPr>
            <w:tcW w:type="dxa" w:w="1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▼801,904</w:t>
            </w:r>
          </w:p>
        </w:tc>
        <w:tc>
          <w:tcPr>
            <w:tcW w:type="dxa" w:w="11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-19.6%</w:t>
            </w:r>
          </w:p>
        </w:tc>
        <w:tc>
          <w:tcPr>
            <w:tcW w:type="dxa" w:w="21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자동차 부품 출하 감소</w:t>
            </w:r>
          </w:p>
        </w:tc>
      </w:tr>
      <w:tr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제조원가</w:t>
            </w:r>
          </w:p>
        </w:tc>
        <w:tc>
          <w:tcPr>
            <w:tcW w:type="dxa" w:w="1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2,856,536</w:t>
            </w:r>
          </w:p>
        </w:tc>
        <w:tc>
          <w:tcPr>
            <w:tcW w:type="dxa" w:w="1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2,717,169</w:t>
            </w:r>
          </w:p>
        </w:tc>
        <w:tc>
          <w:tcPr>
            <w:tcW w:type="dxa" w:w="1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006600"/>
                <w:sz w:val="18"/>
                <w:szCs w:val="18"/>
              </w:rPr>
              <w:t xml:space="preserve">▼139,367</w:t>
            </w:r>
          </w:p>
        </w:tc>
        <w:tc>
          <w:tcPr>
            <w:tcW w:type="dxa" w:w="11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69.7%→82.5%</w:t>
            </w:r>
          </w:p>
        </w:tc>
        <w:tc>
          <w:tcPr>
            <w:tcW w:type="dxa" w:w="21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매출 대비 +12.7%p 상승</w:t>
            </w:r>
          </w:p>
        </w:tc>
      </w:tr>
      <w:tr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① 인건비(제조)</w:t>
            </w:r>
          </w:p>
        </w:tc>
        <w:tc>
          <w:tcPr>
            <w:tcW w:type="dxa" w:w="1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547,646</w:t>
            </w:r>
          </w:p>
        </w:tc>
        <w:tc>
          <w:tcPr>
            <w:tcW w:type="dxa" w:w="1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598,756</w:t>
            </w:r>
          </w:p>
        </w:tc>
        <w:tc>
          <w:tcPr>
            <w:tcW w:type="dxa" w:w="1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▲51,110</w:t>
            </w:r>
          </w:p>
        </w:tc>
        <w:tc>
          <w:tcPr>
            <w:tcW w:type="dxa" w:w="11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+4.8%p</w:t>
            </w:r>
          </w:p>
        </w:tc>
        <w:tc>
          <w:tcPr>
            <w:tcW w:type="dxa" w:w="21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OT 관리 부족 (인당 평균 +30hr), 잔업 추가관리 필요</w:t>
            </w:r>
          </w:p>
        </w:tc>
      </w:tr>
      <w:tr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② 전기비(제조)</w:t>
            </w:r>
          </w:p>
        </w:tc>
        <w:tc>
          <w:tcPr>
            <w:tcW w:type="dxa" w:w="1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233,883</w:t>
            </w:r>
          </w:p>
        </w:tc>
        <w:tc>
          <w:tcPr>
            <w:tcW w:type="dxa" w:w="1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332,468</w:t>
            </w:r>
          </w:p>
        </w:tc>
        <w:tc>
          <w:tcPr>
            <w:tcW w:type="dxa" w:w="1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▲98,585</w:t>
            </w:r>
          </w:p>
        </w:tc>
        <w:tc>
          <w:tcPr>
            <w:tcW w:type="dxa" w:w="11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+4.4%p</w:t>
            </w:r>
          </w:p>
        </w:tc>
        <w:tc>
          <w:tcPr>
            <w:tcW w:type="dxa" w:w="21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3월은 설휴무 반영(24일), 4월은 정상가동(31일) + 베트남 폭염으로 칠러 가동 증가</w:t>
            </w:r>
          </w:p>
        </w:tc>
      </w:tr>
      <w:tr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③ Logistics(판관비)</w:t>
            </w:r>
          </w:p>
        </w:tc>
        <w:tc>
          <w:tcPr>
            <w:tcW w:type="dxa" w:w="1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43,153</w:t>
            </w:r>
          </w:p>
        </w:tc>
        <w:tc>
          <w:tcPr>
            <w:tcW w:type="dxa" w:w="1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68,193</w:t>
            </w:r>
          </w:p>
        </w:tc>
        <w:tc>
          <w:tcPr>
            <w:tcW w:type="dxa" w:w="1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▲25,041</w:t>
            </w:r>
          </w:p>
        </w:tc>
        <w:tc>
          <w:tcPr>
            <w:tcW w:type="dxa" w:w="11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+1.0%p</w:t>
            </w:r>
          </w:p>
        </w:tc>
        <w:tc>
          <w:tcPr>
            <w:tcW w:type="dxa" w:w="21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한국 LG·MANDO 샘플 물류비 증가 (※ 상세내역 추가확보 필요)</w:t>
            </w:r>
          </w:p>
        </w:tc>
      </w:tr>
      <w:tr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④ 외부창고(판관비)</w:t>
            </w:r>
          </w:p>
        </w:tc>
        <w:tc>
          <w:tcPr>
            <w:tcW w:type="dxa" w:w="1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41,678</w:t>
            </w:r>
          </w:p>
        </w:tc>
        <w:tc>
          <w:tcPr>
            <w:tcW w:type="dxa" w:w="1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56,755</w:t>
            </w:r>
          </w:p>
        </w:tc>
        <w:tc>
          <w:tcPr>
            <w:tcW w:type="dxa" w:w="1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▲15,077</w:t>
            </w:r>
          </w:p>
        </w:tc>
        <w:tc>
          <w:tcPr>
            <w:tcW w:type="dxa" w:w="11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+0.7%p</w:t>
            </w:r>
          </w:p>
        </w:tc>
        <w:tc>
          <w:tcPr>
            <w:tcW w:type="dxa" w:w="21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아웃소싱 외부창고비 증가 (※ 상세내역 추가확보 필요)</w:t>
            </w:r>
          </w:p>
        </w:tc>
      </w:tr>
    </w:tbl>
    <w:p>
      <w:pPr>
        <w:spacing w:after="80" w:before="160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305496"/>
          <w:sz w:val="22"/>
          <w:szCs w:val="22"/>
        </w:rPr>
        <w:t xml:space="preserve">3. 항목별 상세 의견 및 조치사항</w:t>
      </w:r>
    </w:p>
    <w:p>
      <w:pPr>
        <w:spacing w:after="60" w:before="0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000000"/>
          <w:sz w:val="19"/>
          <w:szCs w:val="19"/>
        </w:rPr>
        <w:t xml:space="preserve">① 인건비 증가: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19"/>
          <w:szCs w:val="19"/>
        </w:rPr>
        <w:t xml:space="preserve">OT 관리 부족으로 인당 평균 30시간 증가 →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C00000"/>
          <w:sz w:val="19"/>
          <w:szCs w:val="19"/>
        </w:rPr>
        <w:t xml:space="preserve">잔업에 대한 추가관리 시급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19"/>
          <w:szCs w:val="19"/>
        </w:rPr>
        <w:t xml:space="preserve"> (라인별 OT 한도 설정 및 일일 모니터링 도입 검토)</w:t>
      </w:r>
    </w:p>
    <w:p>
      <w:pPr>
        <w:spacing w:after="60" w:before="0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000000"/>
          <w:sz w:val="19"/>
          <w:szCs w:val="19"/>
        </w:rPr>
        <w:t xml:space="preserve">② 전기비 증가: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19"/>
          <w:szCs w:val="19"/>
        </w:rPr>
        <w:t xml:space="preserve">전기료 인보이스 반영기간(전월 18일~당월 17일) 특성상 3월분에는 2월 설휴무가 반영되어 저비용, 4월분은 정상 31일 가동으로 환원됨. 추가로 베트남 기온 상승으로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000000"/>
          <w:sz w:val="19"/>
          <w:szCs w:val="19"/>
        </w:rPr>
        <w:t xml:space="preserve">칠러(Chiller) 가동시간 증가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19"/>
          <w:szCs w:val="19"/>
        </w:rPr>
        <w:t xml:space="preserve"> → 계절성 비용으로 향후 5~8월 추가 증가 예상</w:t>
      </w:r>
    </w:p>
    <w:p>
      <w:pPr>
        <w:spacing w:after="60" w:before="0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000000"/>
          <w:sz w:val="19"/>
          <w:szCs w:val="19"/>
        </w:rPr>
        <w:t xml:space="preserve">③ 로지스틱스 비용 증가: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19"/>
          <w:szCs w:val="19"/>
        </w:rPr>
        <w:t xml:space="preserve">한국 LG, 한국 MANDO向 샘플 물류비용 증가 (+$25K). </w:t>
      </w:r>
      <w:r>
        <w:rPr>
          <w:rFonts w:ascii="맑은 고딕" w:cs="맑은 고딕" w:eastAsia="맑은 고딕" w:hAnsi="맑은 고딕"/>
          <w:b w:val="false"/>
          <w:bCs w:val="false"/>
          <w:i/>
          <w:iCs/>
          <w:color w:val="C00000"/>
          <w:sz w:val="19"/>
          <w:szCs w:val="19"/>
        </w:rPr>
        <w:t xml:space="preserve">※ 고객사별·건별 상세내역은 별도 추가 확보 필요</w:t>
      </w:r>
    </w:p>
    <w:p>
      <w:pPr>
        <w:spacing w:after="60" w:before="0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000000"/>
          <w:sz w:val="19"/>
          <w:szCs w:val="19"/>
        </w:rPr>
        <w:t xml:space="preserve">④ 아웃소싱 외부창고비용 증가: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19"/>
          <w:szCs w:val="19"/>
        </w:rPr>
        <w:t xml:space="preserve">외부창고 임대료 +$15K. </w:t>
      </w:r>
      <w:r>
        <w:rPr>
          <w:rFonts w:ascii="맑은 고딕" w:cs="맑은 고딕" w:eastAsia="맑은 고딕" w:hAnsi="맑은 고딕"/>
          <w:b w:val="false"/>
          <w:bCs w:val="false"/>
          <w:i/>
          <w:iCs/>
          <w:color w:val="C00000"/>
          <w:sz w:val="19"/>
          <w:szCs w:val="19"/>
        </w:rPr>
        <w:t xml:space="preserve">※ 창고별 사용내역·계약조건 등 상세사유 추가 확보 필요</w:t>
      </w:r>
    </w:p>
    <w:p>
      <w:pPr>
        <w:spacing w:after="160" w:before="0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000000"/>
          <w:sz w:val="19"/>
          <w:szCs w:val="19"/>
        </w:rPr>
        <w:t xml:space="preserve">⑤ 기타 1만불 이상 증가 항목: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19"/>
          <w:szCs w:val="19"/>
        </w:rPr>
        <w:t xml:space="preserve">위 ①~④ 외 1만불 이상 증가한 단일 비용항목은 제조 P/L 및 판관비상에서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000000"/>
          <w:sz w:val="19"/>
          <w:szCs w:val="19"/>
        </w:rPr>
        <w:t xml:space="preserve">추가로 식별되지 않음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19"/>
          <w:szCs w:val="19"/>
        </w:rPr>
        <w:t xml:space="preserve">. (참고: 아웃소싱(Ano/Paint/CNC) ▼$17K, Consumables ▼$27K 등 감소항목 존재). </w:t>
      </w:r>
      <w:r>
        <w:rPr>
          <w:rFonts w:ascii="맑은 고딕" w:cs="맑은 고딕" w:eastAsia="맑은 고딕" w:hAnsi="맑은 고딕"/>
          <w:b w:val="false"/>
          <w:bCs w:val="false"/>
          <w:i/>
          <w:iCs/>
          <w:color w:val="C00000"/>
          <w:sz w:val="19"/>
          <w:szCs w:val="19"/>
        </w:rPr>
        <w:t xml:space="preserve">※ 만일 누락된 세부계정이 있을 경우 추가 보강 필요</w:t>
      </w:r>
    </w:p>
    <w:p>
      <w:pPr>
        <w:spacing w:after="80" w:before="60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305496"/>
          <w:sz w:val="22"/>
          <w:szCs w:val="22"/>
        </w:rPr>
        <w:t xml:space="preserve">4. 결론 및 건의사항</w:t>
      </w:r>
    </w:p>
    <w:p>
      <w:pPr>
        <w:spacing w:after="8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19"/>
          <w:szCs w:val="19"/>
        </w:rPr>
        <w:t xml:space="preserve">매출 감소 국면에서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000000"/>
          <w:sz w:val="19"/>
          <w:szCs w:val="19"/>
        </w:rPr>
        <w:t xml:space="preserve">고정성·관리가능 비용(OT, 물류, 외부창고)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19"/>
          <w:szCs w:val="19"/>
        </w:rPr>
        <w:t xml:space="preserve">이 동반 증가하여 수익성이 악화되었음.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C00000"/>
          <w:sz w:val="19"/>
          <w:szCs w:val="19"/>
        </w:rPr>
        <w:t xml:space="preserve">① OT 통제 강화, ② 샘플 물류비 사전승인 프로세스 도입, ③ 외부창고 사용량 점검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19"/>
          <w:szCs w:val="19"/>
        </w:rPr>
        <w:t xml:space="preserve">을 5월 즉시 시행 건의드립니다.</w:t>
      </w:r>
    </w:p>
    <w:p>
      <w:pPr>
        <w:spacing w:after="60" w:before="60"/>
        <w:jc w:val="left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808080"/>
          <w:sz w:val="16"/>
          <w:szCs w:val="16"/>
        </w:rPr>
        <w:t xml:space="preserve">※ 본 보고서 항목 중 표시된 항목(</w:t>
      </w:r>
      <w:r>
        <w:rPr>
          <w:rFonts w:ascii="맑은 고딕" w:cs="맑은 고딕" w:eastAsia="맑은 고딕" w:hAnsi="맑은 고딕"/>
          <w:b/>
          <w:bCs/>
          <w:i/>
          <w:iCs/>
          <w:color w:val="808080"/>
          <w:sz w:val="16"/>
          <w:szCs w:val="16"/>
        </w:rPr>
        <w:t xml:space="preserve">③ 로지스틱스, ④ 외부창고, ⑤ 기타</w:t>
      </w:r>
      <w:r>
        <w:rPr>
          <w:rFonts w:ascii="맑은 고딕" w:cs="맑은 고딕" w:eastAsia="맑은 고딕" w:hAnsi="맑은 고딕"/>
          <w:b w:val="false"/>
          <w:bCs w:val="false"/>
          <w:i/>
          <w:iCs/>
          <w:color w:val="808080"/>
          <w:sz w:val="16"/>
          <w:szCs w:val="16"/>
        </w:rPr>
        <w:t xml:space="preserve">)은 상세내역이 부족한 부분으로, 추후 관련 부서로부터 세부자료 확보 후 보강이 필요합니다.</w:t>
      </w:r>
    </w:p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2026-05-11T12:32:19.582Z</dcterms:created>
  <dcterms:modified xsi:type="dcterms:W3CDTF">2026-05-11T12:32:19.582Z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