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8"/>
          <w:szCs w:val="28"/>
        </w:rPr>
        <w:t xml:space="preserve">[보고] 2026년 4월 제조원가 증가 사유 보고</w:t>
      </w:r>
    </w:p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수신: 경영진     |     작성: 경영재무팀     |     일자: 2026.05.12</w:t>
      </w:r>
    </w:p>
    <w:p>
      <w:pPr>
        <w:pBdr>
          <w:bottom w:val="single" w:color="1F4E79" w:sz="6" w:space="1"/>
        </w:pBdr>
        <w:spacing w:after="120" w:before="60"/>
      </w:pP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경영진께,</w:t>
      </w:r>
    </w:p>
    <w:p>
      <w:pPr>
        <w:spacing w:after="2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2026년 4월 마감 결과, 매출액 감소(3월 대비 ▼19.6%)에도 불구하고 매출 대비 제조원가 비율은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3월 69.7% → 4월 82.5% (+12.7%p)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로 악화되었습니다. 주요 원인을 아래와 같이 정리하여 보고드립니다.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1. 인건비 증가 (약 +5만불)</w:t>
      </w:r>
    </w:p>
    <w:p>
      <w:pPr>
        <w:spacing w:after="2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생산직 1인당 평균 잔업시간이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3월 76시간에서 4월 106시간으로 약 30시간(+39%) 증가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하여 인건비가 약 5만불 추가 발생하였습니다. 4월 생산물량 회복 및 납기 대응 과정에서 OT가 누적된 것으로 확인되며, 5월부터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라인별 OT 한도 설정 및 일일 모니터링 체계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를 도입하여 통제하겠습니다.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2. 전기비용 증가 (마감일자 및 계절요인)</w:t>
      </w:r>
    </w:p>
    <w:p>
      <w:pPr>
        <w:spacing w:after="2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전기료는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전월 18일부터 당월 17일까지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의 인보이스가 당월 비용으로 반영되는 구조입니다. 3월 청구분(2.18~3.17)은 설 휴무를 포함하여 실가동 24일이었던 반면, 4월 청구분(3.18~4.18)은 27일 가동으로 정상화되어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근무일수 차이로 인한 기저효과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가 발생하였습니다. 추가로 4월부터 베트남 우기 진입에 따른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냉방(칠러) 가동 본격화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로 전력 사용량이 동반 상승하였으며, 5월 이후 추가 증가가 예상됩니다.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3. 물류비용 증가 (약 +1.2만불)</w:t>
      </w:r>
    </w:p>
    <w:p>
      <w:pPr>
        <w:spacing w:after="2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3월에는 발생하지 않았던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에어(항공) 운송이 4월 신규로 발생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하여 약 1.2만불의 비용이 추가되었습니다. 주로 한국 LG·MANDO向 샘플의 긴급 납기 대응을 위한 항공운송 건이며, 향후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건별 운송수단 사전 승인 및 Ocean 전환 가능성 검토 프로세스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를 운영하여 통제하겠습니다.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4. 금형 실적 입력 지연에 따른 추가 반영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4월 생산분 중 일부 금형 실적이 5월에 입력될 예정이었으나, 4월 마감 시점에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해당 분의 인건비·경비를 추가 반영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함에 따라 4월 제조원가가 상승하였습니다. 본 항목은 5월 실적 입력 시점에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양월 간 차감·정산 조정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을 통해 정상화될 예정이며, 입력 지연 재발 방지를 위해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월별 금형 실적 마감 기한을 사전 공지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하도록 하겠습니다.</w:t>
      </w:r>
    </w:p>
    <w:p>
      <w:pPr>
        <w:spacing w:after="22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7"/>
          <w:szCs w:val="17"/>
        </w:rPr>
        <w:t xml:space="preserve">※ 첨부 “금형비증가사항.txt” 파일은 현재 내용이 비어 있어 세부 금액·내역은 해당 부서로부터 추가 확보 후 보강 보고드리겠습니다.</w:t>
      </w:r>
    </w:p>
    <w:p>
      <w:pPr>
        <w:pBdr>
          <w:bottom w:val="single" w:color="1F4E79" w:sz="6" w:space="1"/>
        </w:pBdr>
        <w:spacing w:after="120" w:before="60"/>
      </w:pPr>
    </w:p>
    <w:p>
      <w:pPr>
        <w:spacing w:after="2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위와 같이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① 잔업시간 증가, ② 전기료 마감일자·계절요인, ③ 항공운송 신규 발생, ④ 금형 실적 추가 반영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 4월 제조원가 증가의 주요 사유입니다. 5월부터는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OT 통제 강화, 운송수단 사전 승인, 금형 실적 마감 기한 운영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을 통하여 재발을 방지하겠습니다.</w:t>
      </w:r>
    </w:p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이상 보고드립니다. 감사합니다.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경영재무팀 드림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2026-05-12T11:01:41.083Z</dcterms:created>
  <dcterms:modified xsi:type="dcterms:W3CDTF">2026-05-12T11:01:41.084Z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