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Malgun Gothic" w:cs="Malgun Gothic" w:eastAsia="Malgun Gothic" w:hAnsi="Malgun Gothic"/>
          <w:b/>
          <w:bCs/>
          <w:color w:val="1F4E78"/>
          <w:sz w:val="56"/>
          <w:szCs w:val="56"/>
        </w:rPr>
        <w:t xml:space="preserve">Sacombank 대출 갱신</w:t>
      </w:r>
    </w:p>
    <w:p>
      <w:pPr>
        <w:spacing w:after="480"/>
        <w:jc w:val="center"/>
      </w:pPr>
      <w:r>
        <w:rPr>
          <w:rFonts w:ascii="Malgun Gothic" w:cs="Malgun Gothic" w:eastAsia="Malgun Gothic" w:hAnsi="Malgun Gothic"/>
          <w:b/>
          <w:bCs/>
          <w:color w:val="404040"/>
          <w:sz w:val="32"/>
          <w:szCs w:val="32"/>
        </w:rPr>
        <w:t xml:space="preserve">이전 계약 vs 갱신 계약 비교 분석 및 엑셀 자료 요약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M&amp;C ELECTRONICS VINA</w:t>
      </w:r>
    </w:p>
    <w:p>
      <w:pPr>
        <w:jc w:val="center"/>
      </w:pPr>
      <w:r>
        <w:rPr>
          <w:rFonts w:ascii="Malgun Gothic" w:cs="Malgun Gothic" w:eastAsia="Malgun Gothic" w:hAnsi="Malgun Gothic"/>
          <w:color w:val="606060"/>
          <w:sz w:val="20"/>
          <w:szCs w:val="20"/>
        </w:rPr>
        <w:t xml:space="preserve">작성일: 2026-04-25  |  대상은행: Sacombank – CN Long Biên</w:t>
      </w:r>
    </w:p>
    <w:p>
      <w:pPr>
        <w:pageBreakBefore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1. 분석 대상 자료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PDF (1) THÔNG BÁO CHO VAY SACOMBANK – CTY M&amp;C : 2026.04.24자 Sacombank 신규/갱신 신용공여 통보서 (총 346억 VND 한도)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PDF (2) CAM KET DIEU KIEN BUT PHE : 2026.04.28자 회사 측 9개 약정 이행 확약서 (Số 28042026/CV-M&amp;C)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Excel : Structure Loan 2026.xlsx – 시트 6개 (AR condition / Summary 2026 / Financial Imbalance / Long Loan 2021 / Sheet1·2)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2. 핵심 요약 (Executive Summary)</w:t>
      </w:r>
    </w:p>
    <w:p>
      <w:pPr>
        <w:spacing w:after="80"/>
      </w:pPr>
      <w:r>
        <w:rPr>
          <w:rFonts w:ascii="Malgun Gothic" w:cs="Malgun Gothic" w:eastAsia="Malgun Gothic" w:hAnsi="Malgun Gothic"/>
        </w:rPr>
        <w:t xml:space="preserve">Sacombank Long Biên 지점은 2026년 4월 24일자로 M&amp;C Electronics Vina에 총 346억 VND(약 13.3M USD) 한도의 1년 신용공여를 승인했다. 이는 2025년 308억 VND 대비 38억 VND(+12.3%, +1.46M USD) 증액된 규모로, 단기 운전자금은 동일하게 유지되는 대신 중장기 시설자금·L/C·신규 당좌대출이 확대된 구조이다.</w:t>
      </w:r>
    </w:p>
    <w:p>
      <w:pPr>
        <w:spacing w:after="80"/>
        <w:rPr>
          <w:rFonts w:ascii="Malgun Gothic" w:cs="Malgun Gothic" w:eastAsia="Malgun Gothic" w:hAnsi="Malgun Gothic"/>
          <w:b/>
          <w:bCs/>
        </w:rPr>
      </w:pPr>
      <w:r>
        <w:rPr>
          <w:rFonts w:ascii="Malgun Gothic" w:cs="Malgun Gothic" w:eastAsia="Malgun Gothic" w:hAnsi="Malgun Gothic"/>
          <w:b/>
          <w:bCs/>
        </w:rPr>
        <w:t xml:space="preserve">핵심 변화는 다음과 같다: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L/C 한도 2배 증액 (20→40억 VND): 2026~2027년 원자재·설비 수입 확대 대응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중장기 시설자금 신설 (10→18억 VND, 48개월 분할): 2026~2027 설비투자 자금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당좌대출 10억 VND 신규 도입: 긴급자금 운영 유연성 확보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무담보성 매출채권(AR) 담보 100억 → 82억 VND 축소: Sacombank 본사 규정 강화 영향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부족분은 기계·설비 담보 5→23억 VND(+18억) 확대로 보전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재무 불균형 시정 24개월 시한: 미개선시 AR 담보 한도 50억 VND로 축소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이익배당 금지·자본금 증자 로드맵·전 거래 Sacombank 집중 등 약정 강화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3. 이전 계약(2025) vs 갱신 계약(2026) 항목별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3400"/>
        <w:gridCol w:w="3400"/>
      </w:tblGrid>
      <w:tr>
        <w:trPr>
          <w:tblHeader/>
        </w:trP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이전 계약 (2025년)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갱신 계약 (2026년)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계약 기간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2025-04-15 ~ 2026-04-14 (1년)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2026-04-28 ~ 2027-04-27 (1년)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총 한도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308억 VND (≈ 11.85M USD)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346억 VND (≈ 13.31M USD) ▲ +38억 VND / +1.46M USD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단기 운전자금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278억 VND (10.69M USD)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278억 VND (10.69M USD) – 동일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중장기 시설자금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10억 VND (0.38M USD) / 1년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18억 VND (0.69M USD) / 48개월 / 2026~2027 설비투자, 원리금 균등 월상환, 거치 없음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L/C 한도 (즉시지급)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20억 VND (0.77M USD)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40억 VND (1.54M USD) ▲ 2배 증액 (원자재·기계 수입용, 최소 10% 예치 또는 부동산 20% 동결)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당좌대출 (Overdraft)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없음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10억 VND (0.38M USD) – 신규 도입, 긴급자금용 / 사용일수 기준 고리 이자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적용 금리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—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Sacombank 실행시점 고시금리 적용, 중도상환수수료 면제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담보 합계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254.165억 VND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284.71억 VND (+ 30.5억 VND)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기계·설비 담보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5억 VND (61.2억 가치 중 50~60%, 노후화로 감가 대부분)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23억 VND (86.3억 가치) ▲ +18억, 신규 설비 투입으로 담보가치 회복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건물 담보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51억 VND (가치 57.1억)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54억 VND (가치 65.2억) ▲ +3억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토지사용권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122억 VND (가치 135.9억)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119억 VND (가치 133.2억) ▼ -3억 — Quế Võ 공단 31,599m² (임차 ~2057.04.02)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매출채권 (AR)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100억 VND (현금흐름 기반)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82억 VND ▼ -18억 VND — Sacombank 본사 규제강화로 무담보성 AR 축소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월 입금 약정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Sacombank 계좌 70억 VND/월 (3개월 평균)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Sacombank 계좌 70억 VND/월 동일, 100% 거래집중 의무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주요 추가 약정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자기자본 16M USD 유지 / 분기별 재무제표·VAT 제출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24개월 내 재무불균형 미개선시 무담보 AR 한도 50억 VND로 축소 / 이익배당 금지·자본금 증자 로드맵 / 기계·건물 보험 1순위 수익자 Sacombank / 분기별 재무제표·VAT 제출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4. 담보 구성 변화 (단기 한도 278억 VND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담보 종류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2025년 (VND)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2026년 (VND)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기계·설비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</w:rPr>
              <w:t xml:space="preserve">5,000,000,000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</w:rPr>
              <w:t xml:space="preserve">23,000,000,000 (▲ +18억)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건물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</w:rPr>
              <w:t xml:space="preserve">51,000,000,000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</w:rPr>
              <w:t xml:space="preserve">54,000,000,000 (▲ +3억)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토지사용권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</w:rPr>
              <w:t xml:space="preserve">122,000,000,000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</w:rPr>
              <w:t xml:space="preserve">119,000,000,000 (▼ -3억)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매출채권 (AR)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</w:rPr>
              <w:t xml:space="preserve">100,000,000,000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</w:rPr>
              <w:t xml:space="preserve">82,000,000,000 (▼ -18억)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합계 (단기 한도 동일)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</w:rPr>
              <w:t xml:space="preserve">278,000,000,000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</w:rPr>
              <w:t xml:space="preserve">278,000,000,000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</w:rPr>
        <w:t xml:space="preserve">➜ 단기 한도 총액은 동일하나 무담보성 AR 의존 → 실물 자산(기계) 담보로 구조가 재편되었다. 이는 Sacombank 본사 차원에서 매출채권 담보 비중을 줄이려는 신용리스크 관리 강화의 결과이며, 회사 입장에서는 신규 기계 투자 18억 VND가 자연스레 담보가치로 인정되는 효과를 가진다.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5. 회사 측 9가지 약정사항 (CAM KET 2026.04.28)</w:t>
      </w:r>
    </w:p>
    <w:p>
      <w:pPr>
        <w:spacing w:after="80"/>
      </w:pPr>
      <w:r>
        <w:rPr>
          <w:rFonts w:ascii="Malgun Gothic" w:cs="Malgun Gothic" w:eastAsia="Malgun Gothic" w:hAnsi="Malgun Gothic"/>
        </w:rPr>
        <w:t xml:space="preserve">회사는 갱신 통보 수령 후 4일 만에 아래 9개 사항을 이행하겠다는 공식 확약서를 Sacombank 앞으로 발송했다.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① 담보 절차 적극 협조 및 최신 법적 서류 제공 의무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② 기계·공장 보험 가입 및 1순위 수익자 Sacombank 지정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③ 자산 항목 전체(현금·매출채권·재고 등) 담보 제공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④ 기계·설비 전부 담보 (감가완료 기계 포함)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⑤ Sacombank Long Biên 결제·매출입금 계좌 변경 금지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⑥ 거래 100% Sacombank 집중, 월 평균 70억 VND 입금 유지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⑦ 24개월 내 재무 불균형 미개선시 AR 담보 한도 50억 VND로 축소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⑧ 분기별 재무제표 및 VAT 신고서 제출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⑨ 연간 이익 미배당 / 자본금 증자 로드맵 수립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6. 엑셀 자료 (Structure Loan 2026.xlsx) 요약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6-1. 연도별 신용한도 추이 (2020~2026)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1700"/>
        <w:gridCol w:w="1500"/>
        <w:gridCol w:w="1700"/>
        <w:gridCol w:w="1160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연도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계약기간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단기 운전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중장기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L/C 등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총한도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2020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</w:rPr>
              <w:t xml:space="preserve">20.09.10~21.09.10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</w:rPr>
              <w:t xml:space="preserve">220억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</w:rPr>
              <w:t xml:space="preserve">—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</w:rPr>
              <w:t xml:space="preserve">—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220억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2021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</w:rPr>
              <w:t xml:space="preserve">21.09.10~22.09.10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</w:rPr>
              <w:t xml:space="preserve">220억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</w:rPr>
              <w:t xml:space="preserve">10억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</w:rPr>
              <w:t xml:space="preserve">20억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250억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2022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</w:rPr>
              <w:t xml:space="preserve">22.08.11~23.08.11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</w:rPr>
              <w:t xml:space="preserve">260억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</w:rPr>
              <w:t xml:space="preserve">20억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</w:rPr>
              <w:t xml:space="preserve">20억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300억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2023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</w:rPr>
              <w:t xml:space="preserve">23.08.11~24.08.11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</w:rPr>
              <w:t xml:space="preserve">260억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</w:rPr>
              <w:t xml:space="preserve">35억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</w:rPr>
              <w:t xml:space="preserve">20억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315억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2025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</w:rPr>
              <w:t xml:space="preserve">25.04.15~26.04.14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</w:rPr>
              <w:t xml:space="preserve">278억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</w:rPr>
              <w:t xml:space="preserve">10억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</w:rPr>
              <w:t xml:space="preserve">20억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308억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2026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</w:rPr>
              <w:t xml:space="preserve">26.04.28~27.04.27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</w:rPr>
              <w:t xml:space="preserve">278억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</w:rPr>
              <w:t xml:space="preserve">18억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</w:rPr>
              <w:t xml:space="preserve">L/C 40 + OD 10 = 50억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346억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</w:rPr>
        <w:t xml:space="preserve">※ 단위: 억 VND. 2024년은 2023년 계약(2024.08.11까지)으로 갈음되며, 2025년 계약부터 4월 갱신으로 일정이 이동.</w:t>
      </w:r>
    </w:p>
    <w:p>
      <w:pPr>
        <w:spacing w:after="80"/>
      </w:pPr>
      <w:r>
        <w:rPr>
          <w:rFonts w:ascii="Malgun Gothic" w:cs="Malgun Gothic" w:eastAsia="Malgun Gothic" w:hAnsi="Malgun Gothic"/>
        </w:rPr>
        <w:t xml:space="preserve">➜ 2020→2026 동안 총 한도는 220억 → 346억 VND로 약 1.57배 성장. 2022년부터 L/C·중장기가 본격 도입되었고, 2026년에는 처음으로 당좌대출(OD) 10억 VND이 추가되었다.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6-2. AR condition 시트 — 매출채권 담보 모니터링</w:t>
      </w:r>
    </w:p>
    <w:p>
      <w:pPr>
        <w:spacing w:after="80"/>
      </w:pPr>
      <w:r>
        <w:rPr>
          <w:rFonts w:ascii="Malgun Gothic" w:cs="Malgun Gothic" w:eastAsia="Malgun Gothic" w:hAnsi="Malgun Gothic"/>
        </w:rPr>
        <w:t xml:space="preserve">당초 약정상 Sacombank 입금액은 3개월 평균 USD 2,173,913 (≈ 50억 VND)로 유지되어야 하나, 1~6월 실적은 다음과 같이 일부 미달이 발생했다.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3월 평균: $2,113,768 → 약정대비 -$60,144 미달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4월 평균: $2,179,565 → +$5,652 (달성)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5월 평균: $2,060,724 → -$113,188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6월 평균: $2,020,869 → -$153,043</w:t>
      </w:r>
    </w:p>
    <w:p>
      <w:pPr>
        <w:spacing w:after="80"/>
      </w:pPr>
      <w:r>
        <w:rPr>
          <w:rFonts w:ascii="Malgun Gothic" w:cs="Malgun Gothic" w:eastAsia="Malgun Gothic" w:hAnsi="Malgun Gothic"/>
        </w:rPr>
        <w:t xml:space="preserve">➜ 미달 시 평균 산식에 따라 한도가 축소될 수 있으며, 회사는 이 같은 위험 경고를 별도 회의록(Biên bản)으로 받아두었음. 갱신 계약(2026)에서는 월 70억 VND/월(약 USD 2.74M)로 더욱 강화되어 흐름 관리가 핵심 KPI가 되었다.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6-3. Financial Imbalance 시트 — 재무 불균형 현황 (2025-12-31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비유동자산: 4,244억 VND (+607.6억 vs 2024) → 고정자산 +398.6억(리스 26 + 기계처분 12), 무형 +59.8억, 장기자산 +149.2억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비유동부채: 667.7억 VND (≈ 동일)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자본총계: 1,116.9억 VND (+470.6억 vs 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재무 불균형(I-II-III): 2,459.3억 VND (+136.9억 vs 2024)</w:t>
      </w:r>
    </w:p>
    <w:p>
      <w:pPr>
        <w:spacing w:after="80"/>
      </w:pPr>
      <w:r>
        <w:rPr>
          <w:rFonts w:ascii="Malgun Gothic" w:cs="Malgun Gothic" w:eastAsia="Malgun Gothic" w:hAnsi="Malgun Gothic"/>
        </w:rPr>
        <w:t xml:space="preserve">➜ 자본 증자에도 불구하고 비유동자산 증가 폭이 더 커서 단기조달로 장기투자 구조가 심화되었다. 이것이 2026 약정 ⑦·⑨ (이익 미배당·증자·24개월 시한)의 직접적 근거이다.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6-4. Long Loan 2021 시트 — 기존 중장기 대출 트레이스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2021.03.19 ~ 2025.03.19, 4년 만기, 연 9.0% 고정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LYNX 2100B 한국산 선반(원가 27.3억 VND, 담보율 60%, 16.45억 VND)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쇼트블라스팅 GHR 1012V-2BD 베트남산(원가 7.1억, 담보율 50%, 3.55억 VND)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월 상환액: 원금 41.67M VND + 이자 14.79M VND ≈ USD 2,455</w:t>
      </w:r>
    </w:p>
    <w:p>
      <w:pPr>
        <w:spacing w:after="80"/>
      </w:pPr>
      <w:r>
        <w:rPr>
          <w:rFonts w:ascii="Malgun Gothic" w:cs="Malgun Gothic" w:eastAsia="Malgun Gothic" w:hAnsi="Malgun Gothic"/>
        </w:rPr>
        <w:t xml:space="preserve">➜ 해당 차입은 이미 만기 상환 단계이며, 2026년 신규 18억 VND(48개월) 중장기로 사실상 롤오버 + 신규 설비투자 효과를 갖는다.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7. 시사점 및 권고사항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7-1. 긍정적 신호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총 한도 +1.46M USD 증액 — 은행의 영업 신뢰 유지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L/C 2배·신규 OD 10억 VND — 글로벌 조달·긴급자금 운용 폭 확대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중장기 자금 18억 VND·48개월 분할상환 — 설비 CAPEX의 안정적 매칭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7-2. 주의 / 관리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월 70억 VND 입금 KPI: 2025년 1~6월 미달 사례 재발 방지 필요 — 거래처 입금계좌 일제 점검 권장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24개월 시계 (2028.04까지)에 재무 불균형 실질 개선 필요 — 자본금 증자 로드맵을 분기별로 가시화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이익배당 금지 약정으로 모회사 환류 제약 — 본사와 자금정책 사전 조율 필수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AR 담보 -18억 VND → 매출채권 회전기간 단축 인센티브 강화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기계 담보 +18억 VND : 2026년 신규 설비 도입과 보험 1순위 지정 일정 동기화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7-3. 즉시 실행 To-Do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4월 30일까지: 기계·공장 보험증권 갱신 및 Sacombank 1순위 수익자 변경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5월 첫째주: 모든 매출 거래처에 입금계좌(Sacombank Long Biên) 재공지 + 변경금지 안내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매분기 말 +15일: 재무제표·VAT 신고서 Sacombank 송부 SOP 수립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내부 모니터링 대시보드: 월 입금액, AR 회전, 재무 불균형 추이 3축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신규 기계 도입계약 체결 즉시 담보 등기 및 Sacombank 평가 신청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부록 A. 이전(2025) ↔ 갱신(2026) 핵심 변화 요약 한눈에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총 한도: 308 → 346 (+38억 VND, +12.3%)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단기 운전자금: 278 → 278 (동결)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중장기: 10 → 18 (+8억 VND, +80%)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L/C: 20 → 40 (+20억 VND, ×2배)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당좌대출: 0 → 10 (신설)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담보 합계 평가액: 254.165 → 284.71 (+30.5억 VND)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AR 담보 의존도: 100/278 = 36% → 82/278 = 29% (-7%p, 무담보성 축소)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월 입금 의무: 70억 VND/월 (변동 없음, 단 100% 거래집중 강조)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Fonts w:ascii="Malgun Gothic" w:cs="Malgun Gothic" w:eastAsia="Malgun Gothic" w:hAnsi="Malgun Gothic"/>
          <w:rStyle w:val="EndnoteReference"/>
        </w:rPr>
        <w:endnoteRef/>
      </w:r>
      <w:r>
        <w:rPr>
          <w:rFonts w:ascii="Malgun Gothic" w:cs="Malgun Gothic" w:eastAsia="Malgun Gothic" w:hAnsi="Malgun Gothic"/>
        </w:rPr>
        <w:separator/>
      </w:r>
    </w:p>
  </w:endnote>
  <w:endnote w:type="continuationSeparator" w:id="0">
    <w:p>
      <w:pPr>
        <w:spacing w:after="0" w:line="240" w:lineRule="auto"/>
      </w:pPr>
      <w:r>
        <w:rPr>
          <w:rFonts w:ascii="Malgun Gothic" w:cs="Malgun Gothic" w:eastAsia="Malgun Gothic" w:hAnsi="Malgun Gothic"/>
          <w:rStyle w:val="EndnoteReference"/>
        </w:rPr>
        <w:endnoteRef/>
      </w:r>
      <w:r>
        <w:rPr>
          <w:rFonts w:ascii="Malgun Gothic" w:cs="Malgun Gothic" w:eastAsia="Malgun Gothic" w:hAnsi="Malgun Gothic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Fonts w:ascii="Malgun Gothic" w:cs="Malgun Gothic" w:eastAsia="Malgun Gothic" w:hAnsi="Malgun Gothic"/>
          <w:rStyle w:val="FootnoteReference"/>
        </w:rPr>
        <w:footnoteRef/>
      </w:r>
      <w:r>
        <w:rPr>
          <w:rFonts w:ascii="Malgun Gothic" w:cs="Malgun Gothic" w:eastAsia="Malgun Gothic" w:hAnsi="Malgun Gothic"/>
        </w:rPr>
        <w:separator/>
      </w:r>
    </w:p>
  </w:footnote>
  <w:footnote w:type="continuationSeparator" w:id="0">
    <w:p>
      <w:pPr>
        <w:spacing w:after="0" w:line="240" w:lineRule="auto"/>
      </w:pPr>
      <w:r>
        <w:rPr>
          <w:rFonts w:ascii="Malgun Gothic" w:cs="Malgun Gothic" w:eastAsia="Malgun Gothic" w:hAnsi="Malgun Gothic"/>
          <w:rStyle w:val="FootnoteReference"/>
        </w:rPr>
        <w:footnoteRef/>
      </w:r>
      <w:r>
        <w:rPr>
          <w:rFonts w:ascii="Malgun Gothic" w:cs="Malgun Gothic" w:eastAsia="Malgun Gothic" w:hAnsi="Malgun Gothic"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M&amp;C Electronics Vina | Sacombank Loan Renewal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default="1" w:styleId="Normal">
    <w:name w:val="Normal"/>
    <w:rPr>
      <w:rFonts w:ascii="Malgun Gothic" w:cs="Malgun Gothic" w:eastAsia="Malgun Gothic" w:hAnsi="Malgun Gothic"/>
      <w:sz w:val="20"/>
      <w:szCs w:val="20"/>
    </w:r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Sacombank 대출 갱신 비교 분석 보고서</dc:title>
  <dc:creator>M&amp;C Electronics Vina</dc:creator>
  <cp:lastModifiedBy>Un-named</cp:lastModifiedBy>
  <cp:revision>1</cp:revision>
  <dcterms:created xsi:type="dcterms:W3CDTF">2026-04-25T09:31:57.389Z</dcterms:created>
  <dcterms:modified xsi:type="dcterms:W3CDTF">2026-04-25T09:31:57.389Z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