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7A"/>
        </w:rPr>
        <w:t>미국·이란 중동전쟁이 미국·한국 증시에 미치는 영향</w:t>
      </w:r>
    </w:p>
    <w:p>
      <w:pPr>
        <w:jc w:val="center"/>
      </w:pPr>
      <w:r>
        <w:rPr>
          <w:color w:val="606060"/>
          <w:sz w:val="20"/>
        </w:rPr>
        <w:t>경영보고 | 2026년 5월 13일 기준</w:t>
      </w:r>
    </w:p>
    <w:p/>
    <w:p>
      <w:pPr>
        <w:pStyle w:val="Heading1"/>
        <w:jc w:val="left"/>
      </w:pPr>
      <w:r>
        <w:t>1. 요약 (Executive Summary)</w:t>
      </w:r>
    </w:p>
    <w:p>
      <w:pPr>
        <w:jc w:val="both"/>
      </w:pPr>
      <w:r>
        <w:rPr>
          <w:sz w:val="21"/>
        </w:rPr>
        <w:t>2026년 3월 미국과 이란 간의 무력충돌이 본격화되면서 호르무즈 해협이 사실상 봉쇄되었고, 국제에너지기구(IEA)는 이를 '역사상 최대 규모의 원유 공급 차질'로 규정하였다. 브렌트유는 배럴당 114달러를 상회하는 급등세를 나타냈으며, 글로벌 에너지·물류·금융시장 전반에 충격파가 전달되었다. 그러나 미국 증시(S&amp;P 500, 나스닥)는 인공지능(AI) 및 빅테크 주도의 강력한 실적 모멘텀에 힘입어 사상 최고치를 경신하는 이례적 강세를 시현하였다. 한국 증시(코스피)는 초기 -12.1%의 역대 최대 일일 낙폭을 기록하였으나, 반도체·AI 인프라 수요 회복 기대감과 저가 매수세를 배경으로 급반등하여 7,800선을 돌파하는 사상 최고치를 달성하였다.</w:t>
      </w:r>
    </w:p>
    <w:p/>
    <w:p>
      <w:pPr>
        <w:pStyle w:val="Heading1"/>
        <w:jc w:val="left"/>
      </w:pPr>
      <w:r>
        <w:t>2. 미국·이란 전쟁 경과 및 현황 (2026.03~05)</w:t>
      </w:r>
    </w:p>
    <w:p>
      <w:pPr>
        <w:pStyle w:val="Heading2"/>
        <w:jc w:val="left"/>
      </w:pPr>
      <w:r>
        <w:t>2.1 주요 타임라인</w:t>
      </w:r>
    </w:p>
    <w:tbl>
      <w:tblPr>
        <w:tblStyle w:val="TableGrid"/>
        <w:tblW w:type="auto" w:w="0"/>
        <w:tblLook w:firstColumn="1" w:firstRow="1" w:lastColumn="0" w:lastRow="0" w:noHBand="0" w:noVBand="1" w:val="04A0"/>
      </w:tblPr>
      <w:tblGrid>
        <w:gridCol w:w="4561"/>
        <w:gridCol w:w="4561"/>
      </w:tblGrid>
      <w:tr>
        <w:tc>
          <w:tcPr>
            <w:tcW w:type="dxa" w:w="4561"/>
            <w:shd w:val="clear" w:color="auto" w:fill="1F397A"/>
          </w:tcPr>
          <w:p>
            <w:r>
              <w:rPr>
                <w:b/>
                <w:color w:val="FFFFFF"/>
                <w:sz w:val="20"/>
              </w:rPr>
              <w:t>일자</w:t>
            </w:r>
          </w:p>
        </w:tc>
        <w:tc>
          <w:tcPr>
            <w:tcW w:type="dxa" w:w="4561"/>
            <w:shd w:val="clear" w:color="auto" w:fill="1F397A"/>
          </w:tcPr>
          <w:p>
            <w:r>
              <w:rPr>
                <w:b/>
                <w:color w:val="FFFFFF"/>
                <w:sz w:val="20"/>
              </w:rPr>
              <w:t>주요 사건</w:t>
            </w:r>
          </w:p>
        </w:tc>
      </w:tr>
      <w:tr>
        <w:tc>
          <w:tcPr>
            <w:tcW w:type="dxa" w:w="4561"/>
          </w:tcPr>
          <w:p>
            <w:r>
              <w:rPr>
                <w:sz w:val="20"/>
              </w:rPr>
              <w:t>2026년 3월 초</w:t>
            </w:r>
          </w:p>
        </w:tc>
        <w:tc>
          <w:tcPr>
            <w:tcW w:type="dxa" w:w="4561"/>
          </w:tcPr>
          <w:p>
            <w:r>
              <w:rPr>
                <w:sz w:val="20"/>
              </w:rPr>
              <w:t>미국의 이란 핵시설 공습으로 전면 충돌 발발. 이란, 호르무즈 해협 봉쇄 선언.</w:t>
            </w:r>
          </w:p>
        </w:tc>
      </w:tr>
      <w:tr>
        <w:tc>
          <w:tcPr>
            <w:tcW w:type="dxa" w:w="4561"/>
          </w:tcPr>
          <w:p>
            <w:r>
              <w:rPr>
                <w:sz w:val="20"/>
              </w:rPr>
              <w:t>2026년 3월 4일</w:t>
            </w:r>
          </w:p>
        </w:tc>
        <w:tc>
          <w:tcPr>
            <w:tcW w:type="dxa" w:w="4561"/>
          </w:tcPr>
          <w:p>
            <w:r>
              <w:rPr>
                <w:sz w:val="20"/>
              </w:rPr>
              <w:t>코스피 -12.1%(역대 최대 낙폭) 기록. 시가총액 377조 원 증발.</w:t>
            </w:r>
          </w:p>
        </w:tc>
      </w:tr>
      <w:tr>
        <w:tc>
          <w:tcPr>
            <w:tcW w:type="dxa" w:w="4561"/>
          </w:tcPr>
          <w:p>
            <w:r>
              <w:rPr>
                <w:sz w:val="20"/>
              </w:rPr>
              <w:t>2026년 4월 7일</w:t>
            </w:r>
          </w:p>
        </w:tc>
        <w:tc>
          <w:tcPr>
            <w:tcW w:type="dxa" w:w="4561"/>
          </w:tcPr>
          <w:p>
            <w:r>
              <w:rPr>
                <w:sz w:val="20"/>
              </w:rPr>
              <w:t>미·이란 양국, 2주간 임시 휴전 합의. 호르무즈 부분 개방 기대감으로 유가 급락.</w:t>
            </w:r>
          </w:p>
        </w:tc>
      </w:tr>
      <w:tr>
        <w:tc>
          <w:tcPr>
            <w:tcW w:type="dxa" w:w="4561"/>
          </w:tcPr>
          <w:p>
            <w:r>
              <w:rPr>
                <w:sz w:val="20"/>
              </w:rPr>
              <w:t>2026년 4월 17일</w:t>
            </w:r>
          </w:p>
        </w:tc>
        <w:tc>
          <w:tcPr>
            <w:tcW w:type="dxa" w:w="4561"/>
          </w:tcPr>
          <w:p>
            <w:r>
              <w:rPr>
                <w:sz w:val="20"/>
              </w:rPr>
              <w:t>이란 외교장관, 휴전 기간 중 호르무즈 전면 개방 발표 → 유가 하루 -10% 급락.</w:t>
            </w:r>
          </w:p>
        </w:tc>
      </w:tr>
      <w:tr>
        <w:tc>
          <w:tcPr>
            <w:tcW w:type="dxa" w:w="4561"/>
          </w:tcPr>
          <w:p>
            <w:r>
              <w:rPr>
                <w:sz w:val="20"/>
              </w:rPr>
              <w:t>2026년 5월 초</w:t>
            </w:r>
          </w:p>
        </w:tc>
        <w:tc>
          <w:tcPr>
            <w:tcW w:type="dxa" w:w="4561"/>
          </w:tcPr>
          <w:p>
            <w:r>
              <w:rPr>
                <w:sz w:val="20"/>
              </w:rPr>
              <w:t>미국-이란 협상 재개. 유가 브렌트 $100~$114 구간 등락.</w:t>
            </w:r>
          </w:p>
        </w:tc>
      </w:tr>
      <w:tr>
        <w:tc>
          <w:tcPr>
            <w:tcW w:type="dxa" w:w="4561"/>
          </w:tcPr>
          <w:p>
            <w:r>
              <w:rPr>
                <w:sz w:val="20"/>
              </w:rPr>
              <w:t>2026년 5월 11일</w:t>
            </w:r>
          </w:p>
        </w:tc>
        <w:tc>
          <w:tcPr>
            <w:tcW w:type="dxa" w:w="4561"/>
          </w:tcPr>
          <w:p>
            <w:r>
              <w:rPr>
                <w:sz w:val="20"/>
              </w:rPr>
              <w:t>트럼프 대통령, 이란 휴전 제안 거부. 종전 협상 결렬, 유가 재상승.</w:t>
            </w:r>
          </w:p>
        </w:tc>
      </w:tr>
      <w:tr>
        <w:tc>
          <w:tcPr>
            <w:tcW w:type="dxa" w:w="4561"/>
          </w:tcPr>
          <w:p>
            <w:r>
              <w:rPr>
                <w:sz w:val="20"/>
              </w:rPr>
              <w:t>2026년 5월 13일</w:t>
            </w:r>
          </w:p>
        </w:tc>
        <w:tc>
          <w:tcPr>
            <w:tcW w:type="dxa" w:w="4561"/>
          </w:tcPr>
          <w:p>
            <w:r>
              <w:rPr>
                <w:sz w:val="20"/>
              </w:rPr>
              <w:t>코스피 7,822p 사상 최고치. S&amp;P 500도 기록적 고점 유지.</w:t>
            </w:r>
          </w:p>
        </w:tc>
      </w:tr>
    </w:tbl>
    <w:p/>
    <w:p>
      <w:pPr>
        <w:pStyle w:val="Heading2"/>
        <w:jc w:val="left"/>
      </w:pPr>
      <w:r>
        <w:t>2.2 호르무즈 해협 봉쇄의 경제적 의미</w:t>
      </w:r>
    </w:p>
    <w:p>
      <w:pPr>
        <w:jc w:val="both"/>
      </w:pPr>
      <w:r>
        <w:rPr>
          <w:sz w:val="21"/>
        </w:rPr>
        <w:t>호르무즈 해협은 세계 석유 해상 물동량의 약 20%, 액화천연가스(LNG) 물동량의 상당 부분이 통과하는 전략적 요충지이다. 이란의 봉쇄 조치는 사우디아라비아, UAE, 쿠웨이트, 이라크 등 주요 산유국의 원유 수출을 사실상 차단하여 IEA가 '역사상 최대 공급 차질'로 규정한 공급 쇼크를 야기하였다.</w:t>
      </w:r>
    </w:p>
    <w:p/>
    <w:p>
      <w:pPr>
        <w:pStyle w:val="Heading1"/>
        <w:jc w:val="left"/>
      </w:pPr>
      <w:r>
        <w:t>3. 글로벌 에너지·금융시장 파급 효과</w:t>
      </w:r>
    </w:p>
    <w:p>
      <w:pPr>
        <w:pStyle w:val="Heading2"/>
        <w:jc w:val="left"/>
      </w:pPr>
      <w:r>
        <w:t>3.1 국제유가 동향</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6DB4"/>
          </w:tcPr>
          <w:p>
            <w:r>
              <w:rPr>
                <w:b/>
                <w:color w:val="FFFFFF"/>
                <w:sz w:val="20"/>
              </w:rPr>
              <w:t>시점</w:t>
            </w:r>
          </w:p>
        </w:tc>
        <w:tc>
          <w:tcPr>
            <w:tcW w:type="dxa" w:w="2280"/>
            <w:shd w:val="clear" w:color="auto" w:fill="2E6DB4"/>
          </w:tcPr>
          <w:p>
            <w:r>
              <w:rPr>
                <w:b/>
                <w:color w:val="FFFFFF"/>
                <w:sz w:val="20"/>
              </w:rPr>
              <w:t>브렌트유($/배럴)</w:t>
            </w:r>
          </w:p>
        </w:tc>
        <w:tc>
          <w:tcPr>
            <w:tcW w:type="dxa" w:w="2280"/>
            <w:shd w:val="clear" w:color="auto" w:fill="2E6DB4"/>
          </w:tcPr>
          <w:p>
            <w:r>
              <w:rPr>
                <w:b/>
                <w:color w:val="FFFFFF"/>
                <w:sz w:val="20"/>
              </w:rPr>
              <w:t>WTI($/배럴)</w:t>
            </w:r>
          </w:p>
        </w:tc>
        <w:tc>
          <w:tcPr>
            <w:tcW w:type="dxa" w:w="2280"/>
            <w:shd w:val="clear" w:color="auto" w:fill="2E6DB4"/>
          </w:tcPr>
          <w:p>
            <w:r>
              <w:rPr>
                <w:b/>
                <w:color w:val="FFFFFF"/>
                <w:sz w:val="20"/>
              </w:rPr>
              <w:t>비고</w:t>
            </w:r>
          </w:p>
        </w:tc>
      </w:tr>
      <w:tr>
        <w:tc>
          <w:tcPr>
            <w:tcW w:type="dxa" w:w="2280"/>
          </w:tcPr>
          <w:p>
            <w:r>
              <w:rPr>
                <w:sz w:val="20"/>
              </w:rPr>
              <w:t>2026년 3월 초 (전쟁 발발)</w:t>
            </w:r>
          </w:p>
        </w:tc>
        <w:tc>
          <w:tcPr>
            <w:tcW w:type="dxa" w:w="2280"/>
          </w:tcPr>
          <w:p>
            <w:r>
              <w:rPr>
                <w:sz w:val="20"/>
              </w:rPr>
              <w:t>$80~82</w:t>
            </w:r>
          </w:p>
        </w:tc>
        <w:tc>
          <w:tcPr>
            <w:tcW w:type="dxa" w:w="2280"/>
          </w:tcPr>
          <w:p>
            <w:r>
              <w:rPr>
                <w:sz w:val="20"/>
              </w:rPr>
              <w:t>$74~76</w:t>
            </w:r>
          </w:p>
        </w:tc>
        <w:tc>
          <w:tcPr>
            <w:tcW w:type="dxa" w:w="2280"/>
          </w:tcPr>
          <w:p>
            <w:r>
              <w:rPr>
                <w:sz w:val="20"/>
              </w:rPr>
              <w:t>초기 충격 급등 +10~13%</w:t>
            </w:r>
          </w:p>
        </w:tc>
      </w:tr>
      <w:tr>
        <w:tc>
          <w:tcPr>
            <w:tcW w:type="dxa" w:w="2280"/>
          </w:tcPr>
          <w:p>
            <w:r>
              <w:rPr>
                <w:sz w:val="20"/>
              </w:rPr>
              <w:t>2026년 4월 말 (휴전 직전)</w:t>
            </w:r>
          </w:p>
        </w:tc>
        <w:tc>
          <w:tcPr>
            <w:tcW w:type="dxa" w:w="2280"/>
          </w:tcPr>
          <w:p>
            <w:r>
              <w:rPr>
                <w:sz w:val="20"/>
              </w:rPr>
              <w:t>$100 이상</w:t>
            </w:r>
          </w:p>
        </w:tc>
        <w:tc>
          <w:tcPr>
            <w:tcW w:type="dxa" w:w="2280"/>
          </w:tcPr>
          <w:p>
            <w:r>
              <w:rPr>
                <w:sz w:val="20"/>
              </w:rPr>
              <w:t>$94 이상</w:t>
            </w:r>
          </w:p>
        </w:tc>
        <w:tc>
          <w:tcPr>
            <w:tcW w:type="dxa" w:w="2280"/>
          </w:tcPr>
          <w:p>
            <w:r>
              <w:rPr>
                <w:sz w:val="20"/>
              </w:rPr>
              <w:t>공급 차질 누적</w:t>
            </w:r>
          </w:p>
        </w:tc>
      </w:tr>
      <w:tr>
        <w:tc>
          <w:tcPr>
            <w:tcW w:type="dxa" w:w="2280"/>
          </w:tcPr>
          <w:p>
            <w:r>
              <w:rPr>
                <w:sz w:val="20"/>
              </w:rPr>
              <w:t>2026년 5월 초 (협상 기대)</w:t>
            </w:r>
          </w:p>
        </w:tc>
        <w:tc>
          <w:tcPr>
            <w:tcW w:type="dxa" w:w="2280"/>
          </w:tcPr>
          <w:p>
            <w:r>
              <w:rPr>
                <w:sz w:val="20"/>
              </w:rPr>
              <w:t>$114.44</w:t>
            </w:r>
          </w:p>
        </w:tc>
        <w:tc>
          <w:tcPr>
            <w:tcW w:type="dxa" w:w="2280"/>
          </w:tcPr>
          <w:p>
            <w:r>
              <w:rPr>
                <w:sz w:val="20"/>
              </w:rPr>
              <w:t>$106.42</w:t>
            </w:r>
          </w:p>
        </w:tc>
        <w:tc>
          <w:tcPr>
            <w:tcW w:type="dxa" w:w="2280"/>
          </w:tcPr>
          <w:p>
            <w:r>
              <w:rPr>
                <w:sz w:val="20"/>
              </w:rPr>
              <w:t>협상 기대에도 고유가 지속</w:t>
            </w:r>
          </w:p>
        </w:tc>
      </w:tr>
      <w:tr>
        <w:tc>
          <w:tcPr>
            <w:tcW w:type="dxa" w:w="2280"/>
          </w:tcPr>
          <w:p>
            <w:r>
              <w:rPr>
                <w:sz w:val="20"/>
              </w:rPr>
              <w:t>2026년 5월 13일 (현재)</w:t>
            </w:r>
          </w:p>
        </w:tc>
        <w:tc>
          <w:tcPr>
            <w:tcW w:type="dxa" w:w="2280"/>
          </w:tcPr>
          <w:p>
            <w:r>
              <w:rPr>
                <w:sz w:val="20"/>
              </w:rPr>
              <w:t>$100.06</w:t>
            </w:r>
          </w:p>
        </w:tc>
        <w:tc>
          <w:tcPr>
            <w:tcW w:type="dxa" w:w="2280"/>
          </w:tcPr>
          <w:p>
            <w:r>
              <w:rPr>
                <w:sz w:val="20"/>
              </w:rPr>
              <w:t>$94.81</w:t>
            </w:r>
          </w:p>
        </w:tc>
        <w:tc>
          <w:tcPr>
            <w:tcW w:type="dxa" w:w="2280"/>
          </w:tcPr>
          <w:p>
            <w:r>
              <w:rPr>
                <w:sz w:val="20"/>
              </w:rPr>
              <w:t>협상 결렬 후 소폭 하락</w:t>
            </w:r>
          </w:p>
        </w:tc>
      </w:tr>
    </w:tbl>
    <w:p/>
    <w:p>
      <w:pPr>
        <w:pStyle w:val="Heading2"/>
        <w:jc w:val="left"/>
      </w:pPr>
      <w:r>
        <w:t>3.2 인플레이션·통화정책 연쇄 영향</w:t>
      </w:r>
    </w:p>
    <w:p>
      <w:pPr>
        <w:jc w:val="both"/>
      </w:pPr>
      <w:r>
        <w:rPr>
          <w:sz w:val="21"/>
        </w:rPr>
        <w:t>유가 급등은 비용 인상(Cost-Push) 인플레이션으로 이어져 미국 연방준비제도(Fed)의 금리 인하 기대를 후퇴시켰다. 유럽중앙은행(ECB)은 독일·이탈리아 등 에너지 다소비 국가의 스태그플레이션 진입 가능성을 경고하였으며, 옥스퍼드 이코노믹스는 글로벌 성장률과 인플레이션 모두 중간 수준의 타격을 받을 것으로 전망하였다.</w:t>
      </w:r>
    </w:p>
    <w:p/>
    <w:p>
      <w:pPr>
        <w:pStyle w:val="Heading1"/>
        <w:jc w:val="left"/>
      </w:pPr>
      <w:r>
        <w:t>4. 미국 증시에 대한 영향</w:t>
      </w:r>
    </w:p>
    <w:p>
      <w:pPr>
        <w:pStyle w:val="Heading2"/>
        <w:jc w:val="left"/>
      </w:pPr>
      <w:r>
        <w:t>4.1 시장 개요 — 전쟁 속 사상 최고치</w:t>
      </w:r>
    </w:p>
    <w:p>
      <w:pPr>
        <w:jc w:val="both"/>
      </w:pPr>
      <w:r>
        <w:rPr>
          <w:sz w:val="21"/>
        </w:rPr>
        <w:t>미국 증시는 전쟁·유가 충격에도 불구하고 이례적인 강세를 시현하였다. S&amp;P 500은 4월 말 한 주간 +4.5%, 나스닥은 +6.8%를 기록하였으며, 나스닥은 1992년 이후 최장인 13거래일 연속 상승을 달성하였다. 5월 11일 기준 S&amp;P 500과 러셀 2000은 모두 사상 최고치를 경신하였다.</w:t>
      </w:r>
    </w:p>
    <w:p>
      <w:pPr>
        <w:pStyle w:val="Heading2"/>
        <w:jc w:val="left"/>
      </w:pPr>
      <w:r>
        <w:t>4.2 강세의 핵심 동인 — AI 펀더멘털</w:t>
      </w:r>
    </w:p>
    <w:p>
      <w:pPr>
        <w:jc w:val="both"/>
      </w:pPr>
      <w:r>
        <w:rPr>
          <w:sz w:val="21"/>
        </w:rPr>
        <w:t>S&amp;P 500 시가총액의 절반 가까이를 차지하는 AI·빅테크 주식군이 거시경제 변수와 독립적인 자체 모멘텀으로 시장을 견인하였다. NVIDIA, Microsoft 등 AI 인프라 관련 기업들의 실적이 에너지 비용 상승 우려를 압도하였고, 글로벌 불안 시 안전자산으로의 미국 빅테크 쏠림('Flight to Quality') 현상이 심화되었다.</w:t>
      </w:r>
    </w:p>
    <w:p>
      <w:pPr>
        <w:pStyle w:val="Heading2"/>
        <w:jc w:val="left"/>
      </w:pPr>
      <w:r>
        <w:t>4.3 업종별 영향</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97A"/>
          </w:tcPr>
          <w:p>
            <w:r>
              <w:rPr>
                <w:b/>
                <w:color w:val="FFFFFF"/>
                <w:sz w:val="20"/>
              </w:rPr>
              <w:t>업종</w:t>
            </w:r>
          </w:p>
        </w:tc>
        <w:tc>
          <w:tcPr>
            <w:tcW w:type="dxa" w:w="2280"/>
            <w:shd w:val="clear" w:color="auto" w:fill="1F397A"/>
          </w:tcPr>
          <w:p>
            <w:r>
              <w:rPr>
                <w:b/>
                <w:color w:val="FFFFFF"/>
                <w:sz w:val="20"/>
              </w:rPr>
              <w:t>방향</w:t>
            </w:r>
          </w:p>
        </w:tc>
        <w:tc>
          <w:tcPr>
            <w:tcW w:type="dxa" w:w="2280"/>
            <w:shd w:val="clear" w:color="auto" w:fill="1F397A"/>
          </w:tcPr>
          <w:p>
            <w:r>
              <w:rPr>
                <w:b/>
                <w:color w:val="FFFFFF"/>
                <w:sz w:val="20"/>
              </w:rPr>
              <w:t>주요 기업</w:t>
            </w:r>
          </w:p>
        </w:tc>
        <w:tc>
          <w:tcPr>
            <w:tcW w:type="dxa" w:w="2280"/>
            <w:shd w:val="clear" w:color="auto" w:fill="1F397A"/>
          </w:tcPr>
          <w:p>
            <w:r>
              <w:rPr>
                <w:b/>
                <w:color w:val="FFFFFF"/>
                <w:sz w:val="20"/>
              </w:rPr>
              <w:t>이유</w:t>
            </w:r>
          </w:p>
        </w:tc>
      </w:tr>
      <w:tr>
        <w:tc>
          <w:tcPr>
            <w:tcW w:type="dxa" w:w="2280"/>
          </w:tcPr>
          <w:p>
            <w:r>
              <w:rPr>
                <w:sz w:val="20"/>
              </w:rPr>
              <w:t>AI·빅테크</w:t>
            </w:r>
          </w:p>
        </w:tc>
        <w:tc>
          <w:tcPr>
            <w:tcW w:type="dxa" w:w="2280"/>
          </w:tcPr>
          <w:p>
            <w:r>
              <w:rPr>
                <w:color w:val="C00000"/>
                <w:sz w:val="20"/>
              </w:rPr>
              <w:t>▲ 수혜</w:t>
            </w:r>
          </w:p>
        </w:tc>
        <w:tc>
          <w:tcPr>
            <w:tcW w:type="dxa" w:w="2280"/>
          </w:tcPr>
          <w:p>
            <w:r>
              <w:rPr>
                <w:sz w:val="20"/>
              </w:rPr>
              <w:t>NVIDIA, Microsoft, Alphabet</w:t>
            </w:r>
          </w:p>
        </w:tc>
        <w:tc>
          <w:tcPr>
            <w:tcW w:type="dxa" w:w="2280"/>
          </w:tcPr>
          <w:p>
            <w:r>
              <w:rPr>
                <w:sz w:val="20"/>
              </w:rPr>
              <w:t>AI 수요 폭증, 매크로 독립적 실적</w:t>
            </w:r>
          </w:p>
        </w:tc>
      </w:tr>
      <w:tr>
        <w:tc>
          <w:tcPr>
            <w:tcW w:type="dxa" w:w="2280"/>
          </w:tcPr>
          <w:p>
            <w:r>
              <w:rPr>
                <w:sz w:val="20"/>
              </w:rPr>
              <w:t>방산</w:t>
            </w:r>
          </w:p>
        </w:tc>
        <w:tc>
          <w:tcPr>
            <w:tcW w:type="dxa" w:w="2280"/>
          </w:tcPr>
          <w:p>
            <w:r>
              <w:rPr>
                <w:color w:val="C00000"/>
                <w:sz w:val="20"/>
              </w:rPr>
              <w:t>▲ 수혜</w:t>
            </w:r>
          </w:p>
        </w:tc>
        <w:tc>
          <w:tcPr>
            <w:tcW w:type="dxa" w:w="2280"/>
          </w:tcPr>
          <w:p>
            <w:r>
              <w:rPr>
                <w:sz w:val="20"/>
              </w:rPr>
              <w:t>Lockheed Martin, RTX</w:t>
            </w:r>
          </w:p>
        </w:tc>
        <w:tc>
          <w:tcPr>
            <w:tcW w:type="dxa" w:w="2280"/>
          </w:tcPr>
          <w:p>
            <w:r>
              <w:rPr>
                <w:sz w:val="20"/>
              </w:rPr>
              <w:t>지정학 리스크로 무기 수요 급증</w:t>
            </w:r>
          </w:p>
        </w:tc>
      </w:tr>
      <w:tr>
        <w:tc>
          <w:tcPr>
            <w:tcW w:type="dxa" w:w="2280"/>
          </w:tcPr>
          <w:p>
            <w:r>
              <w:rPr>
                <w:sz w:val="20"/>
              </w:rPr>
              <w:t>에너지</w:t>
            </w:r>
          </w:p>
        </w:tc>
        <w:tc>
          <w:tcPr>
            <w:tcW w:type="dxa" w:w="2280"/>
          </w:tcPr>
          <w:p>
            <w:r>
              <w:rPr>
                <w:color w:val="C00000"/>
                <w:sz w:val="20"/>
              </w:rPr>
              <w:t>▲ 수혜</w:t>
            </w:r>
          </w:p>
        </w:tc>
        <w:tc>
          <w:tcPr>
            <w:tcW w:type="dxa" w:w="2280"/>
          </w:tcPr>
          <w:p>
            <w:r>
              <w:rPr>
                <w:sz w:val="20"/>
              </w:rPr>
              <w:t>ExxonMobil, Chevron</w:t>
            </w:r>
          </w:p>
        </w:tc>
        <w:tc>
          <w:tcPr>
            <w:tcW w:type="dxa" w:w="2280"/>
          </w:tcPr>
          <w:p>
            <w:r>
              <w:rPr>
                <w:sz w:val="20"/>
              </w:rPr>
              <w:t>유가 급등으로 정제마진·이익 확대</w:t>
            </w:r>
          </w:p>
        </w:tc>
      </w:tr>
      <w:tr>
        <w:tc>
          <w:tcPr>
            <w:tcW w:type="dxa" w:w="2280"/>
          </w:tcPr>
          <w:p>
            <w:r>
              <w:rPr>
                <w:sz w:val="20"/>
              </w:rPr>
              <w:t>항공·운송</w:t>
            </w:r>
          </w:p>
        </w:tc>
        <w:tc>
          <w:tcPr>
            <w:tcW w:type="dxa" w:w="2280"/>
          </w:tcPr>
          <w:p>
            <w:r>
              <w:rPr>
                <w:color w:val="0070C0"/>
                <w:sz w:val="20"/>
              </w:rPr>
              <w:t>▼ 피해</w:t>
            </w:r>
          </w:p>
        </w:tc>
        <w:tc>
          <w:tcPr>
            <w:tcW w:type="dxa" w:w="2280"/>
          </w:tcPr>
          <w:p>
            <w:r>
              <w:rPr>
                <w:sz w:val="20"/>
              </w:rPr>
              <w:t>Delta, United Airlines</w:t>
            </w:r>
          </w:p>
        </w:tc>
        <w:tc>
          <w:tcPr>
            <w:tcW w:type="dxa" w:w="2280"/>
          </w:tcPr>
          <w:p>
            <w:r>
              <w:rPr>
                <w:sz w:val="20"/>
              </w:rPr>
              <w:t>유류비 급등으로 수익성 악화</w:t>
            </w:r>
          </w:p>
        </w:tc>
      </w:tr>
      <w:tr>
        <w:tc>
          <w:tcPr>
            <w:tcW w:type="dxa" w:w="2280"/>
          </w:tcPr>
          <w:p>
            <w:r>
              <w:rPr>
                <w:sz w:val="20"/>
              </w:rPr>
              <w:t>소비재·제조</w:t>
            </w:r>
          </w:p>
        </w:tc>
        <w:tc>
          <w:tcPr>
            <w:tcW w:type="dxa" w:w="2280"/>
          </w:tcPr>
          <w:p>
            <w:r>
              <w:rPr>
                <w:color w:val="0070C0"/>
                <w:sz w:val="20"/>
              </w:rPr>
              <w:t>▼ 피해</w:t>
            </w:r>
          </w:p>
        </w:tc>
        <w:tc>
          <w:tcPr>
            <w:tcW w:type="dxa" w:w="2280"/>
          </w:tcPr>
          <w:p>
            <w:r>
              <w:rPr>
                <w:sz w:val="20"/>
              </w:rPr>
              <w:t>Ford, 3M 등</w:t>
            </w:r>
          </w:p>
        </w:tc>
        <w:tc>
          <w:tcPr>
            <w:tcW w:type="dxa" w:w="2280"/>
          </w:tcPr>
          <w:p>
            <w:r>
              <w:rPr>
                <w:sz w:val="20"/>
              </w:rPr>
              <w:t>에너지 비용 상승, 수요 둔화 우려</w:t>
            </w:r>
          </w:p>
        </w:tc>
      </w:tr>
    </w:tbl>
    <w:p/>
    <w:p>
      <w:pPr>
        <w:pStyle w:val="Heading1"/>
        <w:jc w:val="left"/>
      </w:pPr>
      <w:r>
        <w:t>5. 한국 증시에 대한 영향</w:t>
      </w:r>
    </w:p>
    <w:p>
      <w:pPr>
        <w:pStyle w:val="Heading2"/>
        <w:jc w:val="left"/>
      </w:pPr>
      <w:r>
        <w:t>5.1 한국의 구조적 취약성</w:t>
      </w:r>
    </w:p>
    <w:p>
      <w:pPr>
        <w:jc w:val="both"/>
      </w:pPr>
      <w:r>
        <w:rPr>
          <w:sz w:val="21"/>
        </w:rPr>
        <w:t>한국은 화석연료의 98%를 해외 수입에 의존하며, 원유 수입의 약 70.7%, LNG 수입의 20.4%가 중동산이다. 특히 수입 원유의 95%가 호르무즈 해협을 경유하는 구조상 해협 봉쇄는 한국 경제에 직격탄이 된다. 현대경제연구원은 연평균 유가가 배럴당 100달러를 돌파할 경우 국내 소비자물가가 +1.1%p 상승하고 경제성장률은 -0.9%p 하락할 것으로 추정하였다.</w:t>
      </w:r>
    </w:p>
    <w:p>
      <w:pPr>
        <w:pStyle w:val="Heading2"/>
        <w:jc w:val="left"/>
      </w:pPr>
      <w:r>
        <w:t>5.2 코스피 충격과 반등</w:t>
      </w:r>
    </w:p>
    <w:p>
      <w:pPr>
        <w:pStyle w:val="ListBullet"/>
      </w:pPr>
      <w:r>
        <w:rPr>
          <w:b/>
          <w:sz w:val="21"/>
        </w:rPr>
        <w:t xml:space="preserve">초기 충격 (3월 4일): </w:t>
      </w:r>
      <w:r>
        <w:rPr>
          <w:sz w:val="21"/>
        </w:rPr>
        <w:t>코스피 -12.1%(역대 최대 일일 하락폭), 시가총액 377조 원 소멸. 삼성전자 -10%, SK하이닉스 -11%.</w:t>
      </w:r>
    </w:p>
    <w:p>
      <w:pPr>
        <w:pStyle w:val="ListBullet"/>
      </w:pPr>
      <w:r>
        <w:rPr>
          <w:b/>
          <w:sz w:val="21"/>
        </w:rPr>
        <w:t xml:space="preserve">3월 한 달간: </w:t>
      </w:r>
      <w:r>
        <w:rPr>
          <w:sz w:val="21"/>
        </w:rPr>
        <w:t>-19% 월간 하락 (2008년 10월 이후 최대 월간 낙폭)</w:t>
      </w:r>
    </w:p>
    <w:p>
      <w:pPr>
        <w:pStyle w:val="ListBullet"/>
      </w:pPr>
      <w:r>
        <w:rPr>
          <w:b/>
          <w:sz w:val="21"/>
        </w:rPr>
        <w:t xml:space="preserve">4월 이후 반등: </w:t>
      </w:r>
      <w:r>
        <w:rPr>
          <w:sz w:val="21"/>
        </w:rPr>
        <w:t>휴전 기대+AI 수요 확인+저가 매수세로 급반등 개시</w:t>
      </w:r>
    </w:p>
    <w:p>
      <w:pPr>
        <w:pStyle w:val="ListBullet"/>
      </w:pPr>
      <w:r>
        <w:rPr>
          <w:b/>
          <w:sz w:val="21"/>
        </w:rPr>
        <w:t xml:space="preserve">5월 13일 현재: </w:t>
      </w:r>
      <w:r>
        <w:rPr>
          <w:sz w:val="21"/>
        </w:rPr>
        <w:t>코스피 7,822p 사상 최고치. 2025년 이후 누적 상승률 75%+</w:t>
      </w:r>
    </w:p>
    <w:p/>
    <w:p>
      <w:pPr>
        <w:pStyle w:val="Heading2"/>
        <w:jc w:val="left"/>
      </w:pPr>
      <w:r>
        <w:t>5.3 반등 사유 분석</w:t>
      </w:r>
    </w:p>
    <w:p>
      <w:pPr>
        <w:jc w:val="both"/>
      </w:pPr>
      <w:r>
        <w:rPr>
          <w:sz w:val="21"/>
        </w:rPr>
        <w:t>코스피의 급반등을 이끈 핵심 동인은 ①AI 서버용 HBM·DDR5 수요 견조세 확인, ②PBR 0.9배 수준의 역사적 저평가 구간 진입에 따른 저가 매수세 유입, ③정부의 '기업 밸류업(Value-Up)' 정책 지속, ④골드만삭스의 코스피 9,000 목표치 상향 등이다. 삼성전자는 시가총액 1조 달러를 돌파하며 아시아 2위 기업으로 올라섰다.</w:t>
      </w:r>
    </w:p>
    <w:p>
      <w:pPr>
        <w:pStyle w:val="Heading2"/>
        <w:jc w:val="left"/>
      </w:pPr>
      <w:r>
        <w:t>5.4 업종별 영향</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97A"/>
          </w:tcPr>
          <w:p>
            <w:r>
              <w:rPr>
                <w:b/>
                <w:color w:val="FFFFFF"/>
                <w:sz w:val="20"/>
              </w:rPr>
              <w:t>업종</w:t>
            </w:r>
          </w:p>
        </w:tc>
        <w:tc>
          <w:tcPr>
            <w:tcW w:type="dxa" w:w="2280"/>
            <w:shd w:val="clear" w:color="auto" w:fill="1F397A"/>
          </w:tcPr>
          <w:p>
            <w:r>
              <w:rPr>
                <w:b/>
                <w:color w:val="FFFFFF"/>
                <w:sz w:val="20"/>
              </w:rPr>
              <w:t>방향</w:t>
            </w:r>
          </w:p>
        </w:tc>
        <w:tc>
          <w:tcPr>
            <w:tcW w:type="dxa" w:w="2280"/>
            <w:shd w:val="clear" w:color="auto" w:fill="1F397A"/>
          </w:tcPr>
          <w:p>
            <w:r>
              <w:rPr>
                <w:b/>
                <w:color w:val="FFFFFF"/>
                <w:sz w:val="20"/>
              </w:rPr>
              <w:t>주요 종목</w:t>
            </w:r>
          </w:p>
        </w:tc>
        <w:tc>
          <w:tcPr>
            <w:tcW w:type="dxa" w:w="2280"/>
            <w:shd w:val="clear" w:color="auto" w:fill="1F397A"/>
          </w:tcPr>
          <w:p>
            <w:r>
              <w:rPr>
                <w:b/>
                <w:color w:val="FFFFFF"/>
                <w:sz w:val="20"/>
              </w:rPr>
              <w:t>이유</w:t>
            </w:r>
          </w:p>
        </w:tc>
      </w:tr>
      <w:tr>
        <w:tc>
          <w:tcPr>
            <w:tcW w:type="dxa" w:w="2280"/>
          </w:tcPr>
          <w:p>
            <w:r>
              <w:rPr>
                <w:sz w:val="20"/>
              </w:rPr>
              <w:t>반도체·AI</w:t>
            </w:r>
          </w:p>
        </w:tc>
        <w:tc>
          <w:tcPr>
            <w:tcW w:type="dxa" w:w="2280"/>
          </w:tcPr>
          <w:p>
            <w:r>
              <w:rPr>
                <w:sz w:val="20"/>
              </w:rPr>
              <w:t>▲ 수혜</w:t>
            </w:r>
          </w:p>
        </w:tc>
        <w:tc>
          <w:tcPr>
            <w:tcW w:type="dxa" w:w="2280"/>
          </w:tcPr>
          <w:p>
            <w:r>
              <w:rPr>
                <w:sz w:val="20"/>
              </w:rPr>
              <w:t>삼성전자, SK하이닉스</w:t>
            </w:r>
          </w:p>
        </w:tc>
        <w:tc>
          <w:tcPr>
            <w:tcW w:type="dxa" w:w="2280"/>
          </w:tcPr>
          <w:p>
            <w:r>
              <w:rPr>
                <w:sz w:val="20"/>
              </w:rPr>
              <w:t>HBM·AI 수요 매크로 쇼크 압도</w:t>
            </w:r>
          </w:p>
        </w:tc>
      </w:tr>
      <w:tr>
        <w:tc>
          <w:tcPr>
            <w:tcW w:type="dxa" w:w="2280"/>
          </w:tcPr>
          <w:p>
            <w:r>
              <w:rPr>
                <w:sz w:val="20"/>
              </w:rPr>
              <w:t>방산</w:t>
            </w:r>
          </w:p>
        </w:tc>
        <w:tc>
          <w:tcPr>
            <w:tcW w:type="dxa" w:w="2280"/>
          </w:tcPr>
          <w:p>
            <w:r>
              <w:rPr>
                <w:sz w:val="20"/>
              </w:rPr>
              <w:t>▲ 수혜</w:t>
            </w:r>
          </w:p>
        </w:tc>
        <w:tc>
          <w:tcPr>
            <w:tcW w:type="dxa" w:w="2280"/>
          </w:tcPr>
          <w:p>
            <w:r>
              <w:rPr>
                <w:sz w:val="20"/>
              </w:rPr>
              <w:t>한화에어로스페이스, 현대로템</w:t>
            </w:r>
          </w:p>
        </w:tc>
        <w:tc>
          <w:tcPr>
            <w:tcW w:type="dxa" w:w="2280"/>
          </w:tcPr>
          <w:p>
            <w:r>
              <w:rPr>
                <w:sz w:val="20"/>
              </w:rPr>
              <w:t>지정학 긴장으로 수출 수요 급증</w:t>
            </w:r>
          </w:p>
        </w:tc>
      </w:tr>
      <w:tr>
        <w:tc>
          <w:tcPr>
            <w:tcW w:type="dxa" w:w="2280"/>
          </w:tcPr>
          <w:p>
            <w:r>
              <w:rPr>
                <w:sz w:val="20"/>
              </w:rPr>
              <w:t>에너지·정유</w:t>
            </w:r>
          </w:p>
        </w:tc>
        <w:tc>
          <w:tcPr>
            <w:tcW w:type="dxa" w:w="2280"/>
          </w:tcPr>
          <w:p>
            <w:r>
              <w:rPr>
                <w:sz w:val="20"/>
              </w:rPr>
              <w:t>▲ 수혜</w:t>
            </w:r>
          </w:p>
        </w:tc>
        <w:tc>
          <w:tcPr>
            <w:tcW w:type="dxa" w:w="2280"/>
          </w:tcPr>
          <w:p>
            <w:r>
              <w:rPr>
                <w:sz w:val="20"/>
              </w:rPr>
              <w:t>SK이노베이션, S-Oil</w:t>
            </w:r>
          </w:p>
        </w:tc>
        <w:tc>
          <w:tcPr>
            <w:tcW w:type="dxa" w:w="2280"/>
          </w:tcPr>
          <w:p>
            <w:r>
              <w:rPr>
                <w:sz w:val="20"/>
              </w:rPr>
              <w:t>유가 급등으로 정제마진 확대</w:t>
            </w:r>
          </w:p>
        </w:tc>
      </w:tr>
      <w:tr>
        <w:tc>
          <w:tcPr>
            <w:tcW w:type="dxa" w:w="2280"/>
          </w:tcPr>
          <w:p>
            <w:r>
              <w:rPr>
                <w:sz w:val="20"/>
              </w:rPr>
              <w:t>조선·해운</w:t>
            </w:r>
          </w:p>
        </w:tc>
        <w:tc>
          <w:tcPr>
            <w:tcW w:type="dxa" w:w="2280"/>
          </w:tcPr>
          <w:p>
            <w:r>
              <w:rPr>
                <w:sz w:val="20"/>
              </w:rPr>
              <w:t>▲ 수혜</w:t>
            </w:r>
          </w:p>
        </w:tc>
        <w:tc>
          <w:tcPr>
            <w:tcW w:type="dxa" w:w="2280"/>
          </w:tcPr>
          <w:p>
            <w:r>
              <w:rPr>
                <w:sz w:val="20"/>
              </w:rPr>
              <w:t>HD현대중공업, HMM</w:t>
            </w:r>
          </w:p>
        </w:tc>
        <w:tc>
          <w:tcPr>
            <w:tcW w:type="dxa" w:w="2280"/>
          </w:tcPr>
          <w:p>
            <w:r>
              <w:rPr>
                <w:sz w:val="20"/>
              </w:rPr>
              <w:t>LNG선 수요↑, 우회항로 운임↑</w:t>
            </w:r>
          </w:p>
        </w:tc>
      </w:tr>
      <w:tr>
        <w:tc>
          <w:tcPr>
            <w:tcW w:type="dxa" w:w="2280"/>
          </w:tcPr>
          <w:p>
            <w:r>
              <w:rPr>
                <w:sz w:val="20"/>
              </w:rPr>
              <w:t>항공</w:t>
            </w:r>
          </w:p>
        </w:tc>
        <w:tc>
          <w:tcPr>
            <w:tcW w:type="dxa" w:w="2280"/>
          </w:tcPr>
          <w:p>
            <w:r>
              <w:rPr>
                <w:sz w:val="20"/>
              </w:rPr>
              <w:t>▼ 피해</w:t>
            </w:r>
          </w:p>
        </w:tc>
        <w:tc>
          <w:tcPr>
            <w:tcW w:type="dxa" w:w="2280"/>
          </w:tcPr>
          <w:p>
            <w:r>
              <w:rPr>
                <w:sz w:val="20"/>
              </w:rPr>
              <w:t>대한항공, 아시아나항공</w:t>
            </w:r>
          </w:p>
        </w:tc>
        <w:tc>
          <w:tcPr>
            <w:tcW w:type="dxa" w:w="2280"/>
          </w:tcPr>
          <w:p>
            <w:r>
              <w:rPr>
                <w:sz w:val="20"/>
              </w:rPr>
              <w:t>유류비 급등으로 수익성 악화</w:t>
            </w:r>
          </w:p>
        </w:tc>
      </w:tr>
      <w:tr>
        <w:tc>
          <w:tcPr>
            <w:tcW w:type="dxa" w:w="2280"/>
          </w:tcPr>
          <w:p>
            <w:r>
              <w:rPr>
                <w:sz w:val="20"/>
              </w:rPr>
              <w:t>석유화학</w:t>
            </w:r>
          </w:p>
        </w:tc>
        <w:tc>
          <w:tcPr>
            <w:tcW w:type="dxa" w:w="2280"/>
          </w:tcPr>
          <w:p>
            <w:r>
              <w:rPr>
                <w:sz w:val="20"/>
              </w:rPr>
              <w:t>▼ 피해</w:t>
            </w:r>
          </w:p>
        </w:tc>
        <w:tc>
          <w:tcPr>
            <w:tcW w:type="dxa" w:w="2280"/>
          </w:tcPr>
          <w:p>
            <w:r>
              <w:rPr>
                <w:sz w:val="20"/>
              </w:rPr>
              <w:t>LG화학, 롯데케미칼</w:t>
            </w:r>
          </w:p>
        </w:tc>
        <w:tc>
          <w:tcPr>
            <w:tcW w:type="dxa" w:w="2280"/>
          </w:tcPr>
          <w:p>
            <w:r>
              <w:rPr>
                <w:sz w:val="20"/>
              </w:rPr>
              <w:t>나프타 원가 상승, 수요 둔화</w:t>
            </w:r>
          </w:p>
        </w:tc>
      </w:tr>
      <w:tr>
        <w:tc>
          <w:tcPr>
            <w:tcW w:type="dxa" w:w="2280"/>
          </w:tcPr>
          <w:p>
            <w:r>
              <w:rPr>
                <w:sz w:val="20"/>
              </w:rPr>
              <w:t>소비재·유통</w:t>
            </w:r>
          </w:p>
        </w:tc>
        <w:tc>
          <w:tcPr>
            <w:tcW w:type="dxa" w:w="2280"/>
          </w:tcPr>
          <w:p>
            <w:r>
              <w:rPr>
                <w:sz w:val="20"/>
              </w:rPr>
              <w:t>▼ 피해</w:t>
            </w:r>
          </w:p>
        </w:tc>
        <w:tc>
          <w:tcPr>
            <w:tcW w:type="dxa" w:w="2280"/>
          </w:tcPr>
          <w:p>
            <w:r>
              <w:rPr>
                <w:sz w:val="20"/>
              </w:rPr>
              <w:t>롯데쇼핑 등</w:t>
            </w:r>
          </w:p>
        </w:tc>
        <w:tc>
          <w:tcPr>
            <w:tcW w:type="dxa" w:w="2280"/>
          </w:tcPr>
          <w:p>
            <w:r>
              <w:rPr>
                <w:sz w:val="20"/>
              </w:rPr>
              <w:t>에너지 비용 상승으로 소비 위축</w:t>
            </w:r>
          </w:p>
        </w:tc>
      </w:tr>
    </w:tbl>
    <w:p/>
    <w:p>
      <w:pPr>
        <w:pStyle w:val="Heading2"/>
        <w:jc w:val="left"/>
      </w:pPr>
      <w:r>
        <w:t>5.5 한국 경상수지에 대한 영향</w:t>
      </w:r>
    </w:p>
    <w:p>
      <w:pPr>
        <w:jc w:val="both"/>
      </w:pPr>
      <w:r>
        <w:rPr>
          <w:sz w:val="21"/>
        </w:rPr>
        <w:t>유가 배럴당 $20 상승 시 연간 석유 수입 비용이 약 10조 원 증가하며, $50 상승 시에는 25조 원대 추가 부담이 발생한다. 이는 경상수지 흑자 폭을 축소시키고, 원/달러 환율 상승(원화 약세)으로 이어져 외국인 자금 이탈 압력을 높이는 연쇄 구조를 형성한다. KDI는 2026년 경제성장률 전망을 종전 대비 상향 조정(+0.8%p, 2.7%)하였으나, 유가 급등이 장기화될 경우 하방 리스크가 커질 것으로 경고하였다.</w:t>
      </w:r>
    </w:p>
    <w:p/>
    <w:p>
      <w:pPr>
        <w:pStyle w:val="Heading1"/>
        <w:jc w:val="left"/>
      </w:pPr>
      <w:r>
        <w:t>6. 미국·한국 증시 비교 분석</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97A"/>
          </w:tcPr>
          <w:p>
            <w:r>
              <w:rPr>
                <w:b/>
                <w:color w:val="FFFFFF"/>
                <w:sz w:val="20"/>
              </w:rPr>
              <w:t>구분</w:t>
            </w:r>
          </w:p>
        </w:tc>
        <w:tc>
          <w:tcPr>
            <w:tcW w:type="dxa" w:w="3041"/>
            <w:shd w:val="clear" w:color="auto" w:fill="1F397A"/>
          </w:tcPr>
          <w:p>
            <w:r>
              <w:rPr>
                <w:b/>
                <w:color w:val="FFFFFF"/>
                <w:sz w:val="20"/>
              </w:rPr>
              <w:t>미국 증시 (S&amp;P 500 / 나스닥)</w:t>
            </w:r>
          </w:p>
        </w:tc>
        <w:tc>
          <w:tcPr>
            <w:tcW w:type="dxa" w:w="3041"/>
            <w:shd w:val="clear" w:color="auto" w:fill="1F397A"/>
          </w:tcPr>
          <w:p>
            <w:r>
              <w:rPr>
                <w:b/>
                <w:color w:val="FFFFFF"/>
                <w:sz w:val="20"/>
              </w:rPr>
              <w:t>한국 증시 (코스피)</w:t>
            </w:r>
          </w:p>
        </w:tc>
      </w:tr>
      <w:tr>
        <w:tc>
          <w:tcPr>
            <w:tcW w:type="dxa" w:w="3041"/>
            <w:shd w:val="clear" w:color="auto" w:fill="D9E2F3"/>
          </w:tcPr>
          <w:p>
            <w:r>
              <w:rPr>
                <w:b/>
                <w:sz w:val="20"/>
              </w:rPr>
              <w:t>초기 반응</w:t>
            </w:r>
          </w:p>
        </w:tc>
        <w:tc>
          <w:tcPr>
            <w:tcW w:type="dxa" w:w="3041"/>
          </w:tcPr>
          <w:p>
            <w:r>
              <w:rPr>
                <w:sz w:val="20"/>
              </w:rPr>
              <w:t>완만한 하락 후 빠른 반등</w:t>
            </w:r>
          </w:p>
        </w:tc>
        <w:tc>
          <w:tcPr>
            <w:tcW w:type="dxa" w:w="3041"/>
          </w:tcPr>
          <w:p>
            <w:r>
              <w:rPr>
                <w:sz w:val="20"/>
              </w:rPr>
              <w:t>역대 최대 -12.1% 급락</w:t>
            </w:r>
          </w:p>
        </w:tc>
      </w:tr>
      <w:tr>
        <w:tc>
          <w:tcPr>
            <w:tcW w:type="dxa" w:w="3041"/>
            <w:shd w:val="clear" w:color="auto" w:fill="D9E2F3"/>
          </w:tcPr>
          <w:p>
            <w:r>
              <w:rPr>
                <w:b/>
                <w:sz w:val="20"/>
              </w:rPr>
              <w:t>현재 흐름</w:t>
            </w:r>
          </w:p>
        </w:tc>
        <w:tc>
          <w:tcPr>
            <w:tcW w:type="dxa" w:w="3041"/>
          </w:tcPr>
          <w:p>
            <w:r>
              <w:rPr>
                <w:sz w:val="20"/>
              </w:rPr>
              <w:t>사상 최고치 경신 지속</w:t>
            </w:r>
          </w:p>
        </w:tc>
        <w:tc>
          <w:tcPr>
            <w:tcW w:type="dxa" w:w="3041"/>
          </w:tcPr>
          <w:p>
            <w:r>
              <w:rPr>
                <w:sz w:val="20"/>
              </w:rPr>
              <w:t>사상 최고치 경신 (7,822p)</w:t>
            </w:r>
          </w:p>
        </w:tc>
      </w:tr>
      <w:tr>
        <w:tc>
          <w:tcPr>
            <w:tcW w:type="dxa" w:w="3041"/>
            <w:shd w:val="clear" w:color="auto" w:fill="D9E2F3"/>
          </w:tcPr>
          <w:p>
            <w:r>
              <w:rPr>
                <w:b/>
                <w:sz w:val="20"/>
              </w:rPr>
              <w:t>주도 동인</w:t>
            </w:r>
          </w:p>
        </w:tc>
        <w:tc>
          <w:tcPr>
            <w:tcW w:type="dxa" w:w="3041"/>
          </w:tcPr>
          <w:p>
            <w:r>
              <w:rPr>
                <w:sz w:val="20"/>
              </w:rPr>
              <w:t>AI·빅테크 실적 모멘텀</w:t>
            </w:r>
          </w:p>
        </w:tc>
        <w:tc>
          <w:tcPr>
            <w:tcW w:type="dxa" w:w="3041"/>
          </w:tcPr>
          <w:p>
            <w:r>
              <w:rPr>
                <w:sz w:val="20"/>
              </w:rPr>
              <w:t>반도체·HBM 수출 수요</w:t>
            </w:r>
          </w:p>
        </w:tc>
      </w:tr>
      <w:tr>
        <w:tc>
          <w:tcPr>
            <w:tcW w:type="dxa" w:w="3041"/>
            <w:shd w:val="clear" w:color="auto" w:fill="D9E2F3"/>
          </w:tcPr>
          <w:p>
            <w:r>
              <w:rPr>
                <w:b/>
                <w:sz w:val="20"/>
              </w:rPr>
              <w:t>에너지 의존</w:t>
            </w:r>
          </w:p>
        </w:tc>
        <w:tc>
          <w:tcPr>
            <w:tcW w:type="dxa" w:w="3041"/>
          </w:tcPr>
          <w:p>
            <w:r>
              <w:rPr>
                <w:sz w:val="20"/>
              </w:rPr>
              <w:t>자국 생산 가능 (WTI), 영향 제한적</w:t>
            </w:r>
          </w:p>
        </w:tc>
        <w:tc>
          <w:tcPr>
            <w:tcW w:type="dxa" w:w="3041"/>
          </w:tcPr>
          <w:p>
            <w:r>
              <w:rPr>
                <w:sz w:val="20"/>
              </w:rPr>
              <w:t>중동 의존 70%+, 구조적 취약</w:t>
            </w:r>
          </w:p>
        </w:tc>
      </w:tr>
      <w:tr>
        <w:tc>
          <w:tcPr>
            <w:tcW w:type="dxa" w:w="3041"/>
            <w:shd w:val="clear" w:color="auto" w:fill="D9E2F3"/>
          </w:tcPr>
          <w:p>
            <w:r>
              <w:rPr>
                <w:b/>
                <w:sz w:val="20"/>
              </w:rPr>
              <w:t>안전자산 효과</w:t>
            </w:r>
          </w:p>
        </w:tc>
        <w:tc>
          <w:tcPr>
            <w:tcW w:type="dxa" w:w="3041"/>
          </w:tcPr>
          <w:p>
            <w:r>
              <w:rPr>
                <w:sz w:val="20"/>
              </w:rPr>
              <w:t>글로벌 자금 미국 빅테크 유입</w:t>
            </w:r>
          </w:p>
        </w:tc>
        <w:tc>
          <w:tcPr>
            <w:tcW w:type="dxa" w:w="3041"/>
          </w:tcPr>
          <w:p>
            <w:r>
              <w:rPr>
                <w:sz w:val="20"/>
              </w:rPr>
              <w:t>외국인 순매도 후 반전</w:t>
            </w:r>
          </w:p>
        </w:tc>
      </w:tr>
      <w:tr>
        <w:tc>
          <w:tcPr>
            <w:tcW w:type="dxa" w:w="3041"/>
            <w:shd w:val="clear" w:color="auto" w:fill="D9E2F3"/>
          </w:tcPr>
          <w:p>
            <w:r>
              <w:rPr>
                <w:b/>
                <w:sz w:val="20"/>
              </w:rPr>
              <w:t>통화 영향</w:t>
            </w:r>
          </w:p>
        </w:tc>
        <w:tc>
          <w:tcPr>
            <w:tcW w:type="dxa" w:w="3041"/>
          </w:tcPr>
          <w:p>
            <w:r>
              <w:rPr>
                <w:sz w:val="20"/>
              </w:rPr>
              <w:t>달러 강세 → 해외 수익 환산 이익</w:t>
            </w:r>
          </w:p>
        </w:tc>
        <w:tc>
          <w:tcPr>
            <w:tcW w:type="dxa" w:w="3041"/>
          </w:tcPr>
          <w:p>
            <w:r>
              <w:rPr>
                <w:sz w:val="20"/>
              </w:rPr>
              <w:t>원화 약세 → 수입 비용 증가</w:t>
            </w:r>
          </w:p>
        </w:tc>
      </w:tr>
      <w:tr>
        <w:tc>
          <w:tcPr>
            <w:tcW w:type="dxa" w:w="3041"/>
            <w:shd w:val="clear" w:color="auto" w:fill="D9E2F3"/>
          </w:tcPr>
          <w:p>
            <w:r>
              <w:rPr>
                <w:b/>
                <w:sz w:val="20"/>
              </w:rPr>
              <w:t>핵심 리스크</w:t>
            </w:r>
          </w:p>
        </w:tc>
        <w:tc>
          <w:tcPr>
            <w:tcW w:type="dxa" w:w="3041"/>
          </w:tcPr>
          <w:p>
            <w:r>
              <w:rPr>
                <w:sz w:val="20"/>
              </w:rPr>
              <w:t>인플레이션 재점화 → 금리 인하 지연</w:t>
            </w:r>
          </w:p>
        </w:tc>
        <w:tc>
          <w:tcPr>
            <w:tcW w:type="dxa" w:w="3041"/>
          </w:tcPr>
          <w:p>
            <w:r>
              <w:rPr>
                <w:sz w:val="20"/>
              </w:rPr>
              <w:t>호르무즈 장기 봉쇄 → 경상수지 악화</w:t>
            </w:r>
          </w:p>
        </w:tc>
      </w:tr>
    </w:tbl>
    <w:p/>
    <w:p>
      <w:pPr>
        <w:pStyle w:val="Heading1"/>
        <w:jc w:val="left"/>
      </w:pPr>
      <w:r>
        <w:t>7. 향후 리스크 시나리오</w:t>
      </w:r>
    </w:p>
    <w:p>
      <w:pPr>
        <w:pStyle w:val="Heading2"/>
        <w:jc w:val="left"/>
      </w:pPr>
      <w:r>
        <w:t>시나리오 A — 조기 종전·호르무즈 개방 (긍정)</w:t>
      </w:r>
    </w:p>
    <w:p>
      <w:pPr>
        <w:pStyle w:val="ListBullet"/>
      </w:pPr>
      <w:r>
        <w:rPr>
          <w:sz w:val="21"/>
        </w:rPr>
        <w:t>유가 급락 → 물가 안정 → Fed 금리 인하 재개 기대</w:t>
      </w:r>
    </w:p>
    <w:p>
      <w:pPr>
        <w:pStyle w:val="ListBullet"/>
      </w:pPr>
      <w:r>
        <w:rPr>
          <w:sz w:val="21"/>
        </w:rPr>
        <w:t>항공·운송·소비재 급등 반전 기대</w:t>
      </w:r>
    </w:p>
    <w:p>
      <w:pPr>
        <w:pStyle w:val="ListBullet"/>
      </w:pPr>
      <w:r>
        <w:rPr>
          <w:sz w:val="21"/>
        </w:rPr>
        <w:t>한국 경상수지 개선, 원화 강세, 외국인 자금 유입 가속</w:t>
      </w:r>
    </w:p>
    <w:p>
      <w:pPr>
        <w:pStyle w:val="ListBullet"/>
      </w:pPr>
      <w:r>
        <w:rPr>
          <w:sz w:val="21"/>
        </w:rPr>
        <w:t>코스피 8,000선 돌파 시나리오 유효성 증가</w:t>
      </w:r>
    </w:p>
    <w:p/>
    <w:p>
      <w:pPr>
        <w:pStyle w:val="Heading2"/>
        <w:jc w:val="left"/>
      </w:pPr>
      <w:r>
        <w:t>시나리오 B — 전쟁 장기화·협상 교착 (기준)</w:t>
      </w:r>
    </w:p>
    <w:p>
      <w:pPr>
        <w:pStyle w:val="ListBullet"/>
      </w:pPr>
      <w:r>
        <w:rPr>
          <w:sz w:val="21"/>
        </w:rPr>
        <w:t>유가 $100 이상 고착화 → 지속적 인플레이션 압력</w:t>
      </w:r>
    </w:p>
    <w:p>
      <w:pPr>
        <w:pStyle w:val="ListBullet"/>
      </w:pPr>
      <w:r>
        <w:rPr>
          <w:sz w:val="21"/>
        </w:rPr>
        <w:t>한국 경상수지 흑자 축소, 성장률 소폭 하향</w:t>
      </w:r>
    </w:p>
    <w:p>
      <w:pPr>
        <w:pStyle w:val="ListBullet"/>
      </w:pPr>
      <w:r>
        <w:rPr>
          <w:sz w:val="21"/>
        </w:rPr>
        <w:t>AI·반도체 실적이 지속 시장 방어 (현재 경로)</w:t>
      </w:r>
    </w:p>
    <w:p>
      <w:pPr>
        <w:pStyle w:val="ListBullet"/>
      </w:pPr>
      <w:r>
        <w:rPr>
          <w:sz w:val="21"/>
        </w:rPr>
        <w:t>방산·에너지 관련주 상대적 강세 지속</w:t>
      </w:r>
    </w:p>
    <w:p/>
    <w:p>
      <w:pPr>
        <w:pStyle w:val="Heading2"/>
        <w:jc w:val="left"/>
      </w:pPr>
      <w:r>
        <w:t>시나리오 C — 전면전 확전·해협 완전 봉쇄 (부정)</w:t>
      </w:r>
    </w:p>
    <w:p>
      <w:pPr>
        <w:pStyle w:val="ListBullet"/>
      </w:pPr>
      <w:r>
        <w:rPr>
          <w:sz w:val="21"/>
        </w:rPr>
        <w:t>유가 $150+ 폭등 → 글로벌 경기침체 진입</w:t>
      </w:r>
    </w:p>
    <w:p>
      <w:pPr>
        <w:pStyle w:val="ListBullet"/>
      </w:pPr>
      <w:r>
        <w:rPr>
          <w:sz w:val="21"/>
        </w:rPr>
        <w:t>코스피 -20~30% 추가 급락 가능성</w:t>
      </w:r>
    </w:p>
    <w:p>
      <w:pPr>
        <w:pStyle w:val="ListBullet"/>
      </w:pPr>
      <w:r>
        <w:rPr>
          <w:sz w:val="21"/>
        </w:rPr>
        <w:t>외환위기 준하는 원화 급락, 외국인 대량 이탈</w:t>
      </w:r>
    </w:p>
    <w:p>
      <w:pPr>
        <w:pStyle w:val="ListBullet"/>
      </w:pPr>
      <w:r>
        <w:rPr>
          <w:sz w:val="21"/>
        </w:rPr>
        <w:t>삼성전자·SK하이닉스 생산 차질 시 글로벌 반도체 공급망 충격</w:t>
      </w:r>
    </w:p>
    <w:p/>
    <w:p>
      <w:pPr>
        <w:pStyle w:val="Heading1"/>
        <w:jc w:val="left"/>
      </w:pPr>
      <w:r>
        <w:t>8. 리스크 관리 검토 포인트</w:t>
      </w:r>
    </w:p>
    <w:p>
      <w:pPr>
        <w:jc w:val="both"/>
      </w:pPr>
      <w:r>
        <w:rPr>
          <w:sz w:val="21"/>
        </w:rPr>
        <w:t>아래 내용은 투자 권고가 아닌 리스크 관리 관점의 시나리오별 검토 포인트입니다. 실제 투자 의사결정은 개인의 투자 목적, 위험 수용도, 전문가 상담을 바탕으로 이루어져야 합니다.</w:t>
      </w:r>
    </w:p>
    <w:p/>
    <w:tbl>
      <w:tblPr>
        <w:tblStyle w:val="TableGrid"/>
        <w:tblW w:type="auto" w:w="0"/>
        <w:tblLook w:firstColumn="1" w:firstRow="1" w:lastColumn="0" w:lastRow="0" w:noHBand="0" w:noVBand="1" w:val="04A0"/>
      </w:tblPr>
      <w:tblGrid>
        <w:gridCol w:w="4561"/>
        <w:gridCol w:w="4561"/>
      </w:tblGrid>
      <w:tr>
        <w:tc>
          <w:tcPr>
            <w:tcW w:type="dxa" w:w="4561"/>
            <w:shd w:val="clear" w:color="auto" w:fill="2E6DB4"/>
          </w:tcPr>
          <w:p>
            <w:r>
              <w:rPr>
                <w:b/>
                <w:color w:val="FFFFFF"/>
                <w:sz w:val="20"/>
              </w:rPr>
              <w:t>검토 항목</w:t>
            </w:r>
          </w:p>
        </w:tc>
        <w:tc>
          <w:tcPr>
            <w:tcW w:type="dxa" w:w="4561"/>
            <w:shd w:val="clear" w:color="auto" w:fill="2E6DB4"/>
          </w:tcPr>
          <w:p>
            <w:r>
              <w:rPr>
                <w:b/>
                <w:color w:val="FFFFFF"/>
                <w:sz w:val="20"/>
              </w:rPr>
              <w:t>내용</w:t>
            </w:r>
          </w:p>
        </w:tc>
      </w:tr>
      <w:tr>
        <w:tc>
          <w:tcPr>
            <w:tcW w:type="dxa" w:w="4561"/>
          </w:tcPr>
          <w:p>
            <w:r>
              <w:rPr>
                <w:b/>
                <w:sz w:val="20"/>
              </w:rPr>
              <w:t>AI·반도체 업종 모니터링</w:t>
            </w:r>
          </w:p>
        </w:tc>
        <w:tc>
          <w:tcPr>
            <w:tcW w:type="dxa" w:w="4561"/>
          </w:tcPr>
          <w:p>
            <w:r>
              <w:rPr>
                <w:sz w:val="20"/>
              </w:rPr>
              <w:t>전쟁 쇼크 대비 AI 인프라 관련 섹터(반도체·AI 서버 등)가 실적 모멘텀 우위를 유지하는지 지속 점검이 필요합니다.</w:t>
            </w:r>
          </w:p>
        </w:tc>
      </w:tr>
      <w:tr>
        <w:tc>
          <w:tcPr>
            <w:tcW w:type="dxa" w:w="4561"/>
          </w:tcPr>
          <w:p>
            <w:r>
              <w:rPr>
                <w:b/>
                <w:sz w:val="20"/>
              </w:rPr>
              <w:t>방산·에너지 섹터 리스크 대응</w:t>
            </w:r>
          </w:p>
        </w:tc>
        <w:tc>
          <w:tcPr>
            <w:tcW w:type="dxa" w:w="4561"/>
          </w:tcPr>
          <w:p>
            <w:r>
              <w:rPr>
                <w:sz w:val="20"/>
              </w:rPr>
              <w:t>지정학 긴장 장기화 시 방산·에너지 섹터의 변동성 확대 여부를 모니터링하고, 포트폴리오 내 노출 수준을 검토할 수 있습니다.</w:t>
            </w:r>
          </w:p>
        </w:tc>
      </w:tr>
      <w:tr>
        <w:tc>
          <w:tcPr>
            <w:tcW w:type="dxa" w:w="4561"/>
          </w:tcPr>
          <w:p>
            <w:r>
              <w:rPr>
                <w:b/>
                <w:sz w:val="20"/>
              </w:rPr>
              <w:t>항공·석유화학 비용 리스크 점검</w:t>
            </w:r>
          </w:p>
        </w:tc>
        <w:tc>
          <w:tcPr>
            <w:tcW w:type="dxa" w:w="4561"/>
          </w:tcPr>
          <w:p>
            <w:r>
              <w:rPr>
                <w:sz w:val="20"/>
              </w:rPr>
              <w:t>유가 장기 고공행진 시 에너지 비용에 민감한 항공·석유화학 업종의 이익 압박 심화 여부를 모니터링합니다.</w:t>
            </w:r>
          </w:p>
        </w:tc>
      </w:tr>
      <w:tr>
        <w:tc>
          <w:tcPr>
            <w:tcW w:type="dxa" w:w="4561"/>
          </w:tcPr>
          <w:p>
            <w:r>
              <w:rPr>
                <w:b/>
                <w:sz w:val="20"/>
              </w:rPr>
              <w:t>유동성 완충 확보</w:t>
            </w:r>
          </w:p>
        </w:tc>
        <w:tc>
          <w:tcPr>
            <w:tcW w:type="dxa" w:w="4561"/>
          </w:tcPr>
          <w:p>
            <w:r>
              <w:rPr>
                <w:sz w:val="20"/>
              </w:rPr>
              <w:t>협상 교착·확전 시나리오에 대비해 포트폴리오 내 유동성 완충 여력을 점검합니다.</w:t>
            </w:r>
          </w:p>
        </w:tc>
      </w:tr>
      <w:tr>
        <w:tc>
          <w:tcPr>
            <w:tcW w:type="dxa" w:w="4561"/>
          </w:tcPr>
          <w:p>
            <w:r>
              <w:rPr>
                <w:b/>
                <w:sz w:val="20"/>
              </w:rPr>
              <w:t>환율 리스크 점검</w:t>
            </w:r>
          </w:p>
        </w:tc>
        <w:tc>
          <w:tcPr>
            <w:tcW w:type="dxa" w:w="4561"/>
          </w:tcPr>
          <w:p>
            <w:r>
              <w:rPr>
                <w:sz w:val="20"/>
              </w:rPr>
              <w:t>원/달러 환율 상승이 수입 비용 및 외화 부채에 미치는 영향을 주기적으로 점검합니다.</w:t>
            </w:r>
          </w:p>
        </w:tc>
      </w:tr>
    </w:tbl>
    <w:p/>
    <w:p>
      <w:pPr>
        <w:pStyle w:val="Heading1"/>
        <w:jc w:val="left"/>
      </w:pPr>
      <w:r>
        <w:t>9. 주요 참고 자료</w:t>
      </w:r>
    </w:p>
    <w:p>
      <w:pPr>
        <w:pStyle w:val="ListBullet"/>
      </w:pPr>
      <w:r>
        <w:rPr>
          <w:sz w:val="21"/>
        </w:rPr>
        <w:t>IEA(국제에너지기구), 2026년 원유 공급 차질 보고서</w:t>
      </w:r>
    </w:p>
    <w:p>
      <w:pPr>
        <w:pStyle w:val="ListBullet"/>
      </w:pPr>
      <w:r>
        <w:rPr>
          <w:sz w:val="21"/>
        </w:rPr>
        <w:t>Oxford Economics, 'The 2026 Iran War — An Initial Take and Implications'</w:t>
      </w:r>
    </w:p>
    <w:p>
      <w:pPr>
        <w:pStyle w:val="ListBullet"/>
      </w:pPr>
      <w:r>
        <w:rPr>
          <w:sz w:val="21"/>
        </w:rPr>
        <w:t>Morgan Stanley Insights, 'Iran Conflict: Oil Price Impacts and Inflation' (2026)</w:t>
      </w:r>
    </w:p>
    <w:p>
      <w:pPr>
        <w:pStyle w:val="ListBullet"/>
      </w:pPr>
      <w:r>
        <w:rPr>
          <w:sz w:val="21"/>
        </w:rPr>
        <w:t>Charles Schwab, 'Iran War: Ceasefire Offers Relief, Not Resolution' (2026)</w:t>
      </w:r>
    </w:p>
    <w:p>
      <w:pPr>
        <w:pStyle w:val="ListBullet"/>
      </w:pPr>
      <w:r>
        <w:rPr>
          <w:sz w:val="21"/>
        </w:rPr>
        <w:t>KDI(한국개발연구원), '미-이란 전쟁 이후 수정 경제전망 2026'</w:t>
      </w:r>
    </w:p>
    <w:p>
      <w:pPr>
        <w:pStyle w:val="ListBullet"/>
      </w:pPr>
      <w:r>
        <w:rPr>
          <w:sz w:val="21"/>
        </w:rPr>
        <w:t>현대경제연구원, 호르무즈 해협 봉쇄 영향 분석 보고서</w:t>
      </w:r>
    </w:p>
    <w:p>
      <w:pPr>
        <w:pStyle w:val="ListBullet"/>
      </w:pPr>
      <w:r>
        <w:rPr>
          <w:sz w:val="21"/>
        </w:rPr>
        <w:t>Al Jazeera, South Korea KOSPI meltdown coverage (2026.03.04)</w:t>
      </w:r>
    </w:p>
    <w:p>
      <w:pPr>
        <w:pStyle w:val="ListBullet"/>
      </w:pPr>
      <w:r>
        <w:rPr>
          <w:sz w:val="21"/>
        </w:rPr>
        <w:t>Bloomberg, South Korea Stocks Plunge on Iran War Oil Spike (2026.03.09)</w:t>
      </w:r>
    </w:p>
    <w:p>
      <w:pPr>
        <w:pStyle w:val="ListBullet"/>
      </w:pPr>
      <w:r>
        <w:rPr>
          <w:sz w:val="21"/>
        </w:rPr>
        <w:t>Korea Times, Seoul shares down on failed peace talks (2026.04.13)</w:t>
      </w:r>
    </w:p>
    <w:p>
      <w:pPr>
        <w:pStyle w:val="ListBullet"/>
      </w:pPr>
      <w:r>
        <w:rPr>
          <w:sz w:val="21"/>
        </w:rPr>
        <w:t>Goldman Sachs, KOSPI 9,000 목표치 상향 보고서 (2026.05.08)</w:t>
      </w:r>
    </w:p>
    <w:p>
      <w:pPr>
        <w:pStyle w:val="ListBullet"/>
      </w:pPr>
      <w:r>
        <w:rPr>
          <w:sz w:val="21"/>
        </w:rPr>
        <w:t>CNBC, 'Why the stock market is hitting records despite Iran war' (2026.04.16)</w:t>
      </w:r>
    </w:p>
    <w:p>
      <w:pPr>
        <w:pStyle w:val="ListBullet"/>
      </w:pPr>
      <w:r>
        <w:rPr>
          <w:sz w:val="21"/>
        </w:rPr>
        <w:t>TheStreet, Stock Market Today May 11, 2026</w:t>
      </w:r>
    </w:p>
    <w:p/>
    <w:p>
      <w:pPr>
        <w:jc w:val="center"/>
      </w:pPr>
      <w:r>
        <w:rPr>
          <w:i/>
          <w:color w:val="808080"/>
          <w:sz w:val="18"/>
        </w:rPr>
        <w:t>※ 본 보고서는 2026년 5월 13일 기준 공개된 언론 자료, 연구기관 발표, IEA 등 국제기구 보고서를 종합한 경영 참고용 문서입니다. 수록된 수치와 전망은 각 출처의 보고 시점 기준이며, 이후 상황 변화에 따라 달라질 수 있습니다. 본 문서는 금융투자상품에 대한 투자 권유나 자문이 아니며, 투자 결과에 대한 책임은 투자자 본인에게 있습니다. 실제 투자 의사결정은 반드시 자격을 갖춘 금융 전문가와 상담하여 이루어져야 합니다.</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