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E4057"/>
          <w:sz w:val="40"/>
          <w:szCs w:val="40"/>
        </w:rPr>
        <w:t xml:space="preserve">원자재 단가 변화 추이 분석 보고서</w:t>
      </w:r>
    </w:p>
    <w:p>
      <w:pPr>
        <w:spacing w:after="60"/>
        <w:jc w:val="center"/>
      </w:pPr>
      <w:r>
        <w:rPr>
          <w:rFonts w:ascii="Arial" w:cs="Arial" w:eastAsia="Arial" w:hAnsi="Arial"/>
          <w:color w:val="4A6FA5"/>
          <w:sz w:val="24"/>
          <w:szCs w:val="24"/>
        </w:rPr>
        <w:t xml:space="preserve">알루미늄 합금 (ADC12 / S3Y / S36)</w:t>
      </w:r>
    </w:p>
    <w:p>
      <w:pPr>
        <w:pBdr>
          <w:bottom w:val="single" w:color="2E4057" w:sz="6" w:space="8"/>
        </w:pBdr>
        <w:spacing w:after="300"/>
        <w:jc w:val="center"/>
      </w:pPr>
      <w:r>
        <w:rPr>
          <w:rFonts w:ascii="Arial" w:cs="Arial" w:eastAsia="Arial" w:hAnsi="Arial"/>
          <w:color w:val="666666"/>
          <w:sz w:val="18"/>
          <w:szCs w:val="18"/>
        </w:rPr>
        <w:t xml:space="preserve">분석 기간: 2025년 1월 ~ 2026년 3월  |  기준 업체: CHIEN THANG (주요), REGAL/TANQUANG (보조)  |  작성일: 2026.04.03</w:t>
      </w:r>
    </w:p>
    <w:p>
      <w:pPr>
        <w:pStyle w:val="Heading1"/>
        <w:spacing w:after="120" w:before="200"/>
      </w:pPr>
      <w:r>
        <w:rPr>
          <w:rFonts w:ascii="Arial" w:cs="Arial" w:eastAsia="Arial" w:hAnsi="Arial"/>
        </w:rPr>
        <w:t xml:space="preserve">1. Executive Summary</w:t>
      </w:r>
    </w:p>
    <w:p>
      <w:pPr>
        <w:spacing w:after="120" w:line="276"/>
      </w:pPr>
      <w:r>
        <w:rPr>
          <w:rFonts w:ascii="Arial" w:cs="Arial" w:eastAsia="Arial" w:hAnsi="Arial"/>
          <w:sz w:val="20"/>
          <w:szCs w:val="20"/>
        </w:rPr>
        <w:t xml:space="preserve">2025년 1월부터 2026년 3월까지 주요 알루미늄 합금(ADC12, S3Y, S36)의 단가는 전반적으로 상승 추세를 보였다. 2025년 상반기 일시적 하락(Q2 최대 -5.1%) 이후, 하반기부터 본격적인 반등이 시작되어 2026년 Q1에는 전 품목 YoY +4~11% 상승하였다.</w:t>
      </w:r>
    </w:p>
    <w:p>
      <w:pPr>
        <w:spacing w:after="120" w:line="276"/>
      </w:pPr>
      <w:r>
        <w:rPr>
          <w:rFonts w:ascii="Arial" w:cs="Arial" w:eastAsia="Arial" w:hAnsi="Arial"/>
          <w:sz w:val="20"/>
          <w:szCs w:val="20"/>
        </w:rPr>
        <w:t xml:space="preserve">LME 알루미늄 현물가가 톤당 $3,300~$3,500 수준으로 상승하고 중국 생산 용량 상한(4,550만 톤) 도달, 기니 보크사이트 수출 쿼터 검토 등 공급 측 리스크가 확대되고 있어, 향후 3~6개월 간 추가 상승 압력이 지속될 전망이다.</w:t>
      </w:r>
    </w:p>
    <w:p>
      <w:pPr>
        <w:spacing w:after="120" w:line="276"/>
      </w:pPr>
      <w:r>
        <w:rPr>
          <w:rFonts w:ascii="Arial" w:cs="Arial" w:eastAsia="Arial" w:hAnsi="Arial"/>
          <w:b/>
          <w:bCs/>
          <w:sz w:val="20"/>
          <w:szCs w:val="20"/>
        </w:rPr>
        <w:t xml:space="preserve">주요 구매 전략으로 장기계약 전환, 대체재 발굴, 안전재고 확충, 환율 헤징을 적극 검토할 필요가 있다.</w:t>
      </w:r>
    </w:p>
    <w:p>
      <w:r>
        <w:br w:type="page"/>
      </w:r>
    </w:p>
    <w:p>
      <w:pPr>
        <w:pStyle w:val="Heading1"/>
        <w:spacing w:after="120" w:before="200"/>
      </w:pPr>
      <w:r>
        <w:rPr>
          <w:rFonts w:ascii="Arial" w:cs="Arial" w:eastAsia="Arial" w:hAnsi="Arial"/>
        </w:rPr>
        <w:t xml:space="preserve">2. 품목별 단가 추이</w:t>
      </w:r>
    </w:p>
    <w:p>
      <w:pPr>
        <w:spacing w:after="120" w:line="276"/>
      </w:pPr>
      <w:r>
        <w:rPr>
          <w:rFonts w:ascii="Arial" w:cs="Arial" w:eastAsia="Arial" w:hAnsi="Arial"/>
          <w:sz w:val="20"/>
          <w:szCs w:val="20"/>
        </w:rPr>
        <w:t xml:space="preserve">아래 표는 CHIEN THANG 기준 USD/KG 단가이다. (단위: USD/KG)</w:t>
      </w:r>
    </w:p>
    <w:p>
      <w:pPr>
        <w:pStyle w:val="Heading3"/>
        <w:spacing w:after="120" w:before="200"/>
      </w:pPr>
      <w:r>
        <w:rPr>
          <w:rFonts w:ascii="Arial" w:cs="Arial" w:eastAsia="Arial" w:hAnsi="Arial"/>
        </w:rPr>
        <w:t xml:space="preserve">2.1 월별 단가 (2025.1 ~ 2025.8)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978"/>
        <w:gridCol w:w="978"/>
        <w:gridCol w:w="978"/>
        <w:gridCol w:w="978"/>
        <w:gridCol w:w="978"/>
        <w:gridCol w:w="978"/>
        <w:gridCol w:w="978"/>
        <w:gridCol w:w="978"/>
      </w:tblGrid>
      <w:tr>
        <w:tc>
          <w:tcPr>
            <w:tcW w:type="dxa" w:w="120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품목</w:t>
            </w:r>
          </w:p>
        </w:tc>
        <w:tc>
          <w:tcPr>
            <w:tcW w:type="dxa" w:w="978"/>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'25.1</w:t>
            </w:r>
          </w:p>
        </w:tc>
        <w:tc>
          <w:tcPr>
            <w:tcW w:type="dxa" w:w="978"/>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'25.2</w:t>
            </w:r>
          </w:p>
        </w:tc>
        <w:tc>
          <w:tcPr>
            <w:tcW w:type="dxa" w:w="978"/>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'25.3</w:t>
            </w:r>
          </w:p>
        </w:tc>
        <w:tc>
          <w:tcPr>
            <w:tcW w:type="dxa" w:w="978"/>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'25.4</w:t>
            </w:r>
          </w:p>
        </w:tc>
        <w:tc>
          <w:tcPr>
            <w:tcW w:type="dxa" w:w="978"/>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'25.5</w:t>
            </w:r>
          </w:p>
        </w:tc>
        <w:tc>
          <w:tcPr>
            <w:tcW w:type="dxa" w:w="978"/>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'25.6</w:t>
            </w:r>
          </w:p>
        </w:tc>
        <w:tc>
          <w:tcPr>
            <w:tcW w:type="dxa" w:w="978"/>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'25.7</w:t>
            </w:r>
          </w:p>
        </w:tc>
        <w:tc>
          <w:tcPr>
            <w:tcW w:type="dxa" w:w="978"/>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'25.8</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ADC12</w:t>
            </w:r>
          </w:p>
        </w:tc>
        <w:tc>
          <w:tcPr>
            <w:tcW w:type="dxa" w:w="978"/>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color w:val="333333"/>
                <w:sz w:val="18"/>
                <w:szCs w:val="18"/>
              </w:rPr>
              <w:t xml:space="preserve">2.880</w:t>
            </w:r>
          </w:p>
        </w:tc>
        <w:tc>
          <w:tcPr>
            <w:tcW w:type="dxa" w:w="978"/>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color w:val="333333"/>
                <w:sz w:val="18"/>
                <w:szCs w:val="18"/>
              </w:rPr>
              <w:t xml:space="preserve">2.880</w:t>
            </w:r>
          </w:p>
        </w:tc>
        <w:tc>
          <w:tcPr>
            <w:tcW w:type="dxa" w:w="978"/>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color w:val="333333"/>
                <w:sz w:val="18"/>
                <w:szCs w:val="18"/>
              </w:rPr>
              <w:t xml:space="preserve">2.960</w:t>
            </w:r>
          </w:p>
        </w:tc>
        <w:tc>
          <w:tcPr>
            <w:tcW w:type="dxa" w:w="978"/>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color w:val="333333"/>
                <w:sz w:val="18"/>
                <w:szCs w:val="18"/>
              </w:rPr>
              <w:t xml:space="preserve">2.824</w:t>
            </w:r>
          </w:p>
        </w:tc>
        <w:tc>
          <w:tcPr>
            <w:tcW w:type="dxa" w:w="978"/>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color w:val="333333"/>
                <w:sz w:val="18"/>
                <w:szCs w:val="18"/>
              </w:rPr>
              <w:t xml:space="preserve">2.745</w:t>
            </w:r>
          </w:p>
        </w:tc>
        <w:tc>
          <w:tcPr>
            <w:tcW w:type="dxa" w:w="978"/>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color w:val="333333"/>
                <w:sz w:val="18"/>
                <w:szCs w:val="18"/>
              </w:rPr>
              <w:t xml:space="preserve">2.706</w:t>
            </w:r>
          </w:p>
        </w:tc>
        <w:tc>
          <w:tcPr>
            <w:tcW w:type="dxa" w:w="978"/>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color w:val="333333"/>
                <w:sz w:val="18"/>
                <w:szCs w:val="18"/>
              </w:rPr>
              <w:t xml:space="preserve">2.784</w:t>
            </w:r>
          </w:p>
        </w:tc>
        <w:tc>
          <w:tcPr>
            <w:tcW w:type="dxa" w:w="978"/>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color w:val="333333"/>
                <w:sz w:val="18"/>
                <w:szCs w:val="18"/>
              </w:rPr>
              <w:t xml:space="preserve">2.784</w:t>
            </w:r>
          </w:p>
        </w:tc>
      </w:tr>
      <w:tr>
        <w:tc>
          <w:tcPr>
            <w:tcW w:type="dxa" w:w="12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pPr>
              <w:jc w:val="left"/>
            </w:pPr>
            <w:r>
              <w:rPr>
                <w:rFonts w:ascii="Arial" w:cs="Arial" w:eastAsia="Arial" w:hAnsi="Arial"/>
                <w:b/>
                <w:bCs/>
                <w:color w:val="333333"/>
                <w:sz w:val="18"/>
                <w:szCs w:val="18"/>
              </w:rPr>
              <w:t xml:space="preserve">S3Y</w:t>
            </w:r>
          </w:p>
        </w:tc>
        <w:tc>
          <w:tcPr>
            <w:tcW w:type="dxa" w:w="978"/>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pPr>
              <w:jc w:val="center"/>
            </w:pPr>
            <w:r>
              <w:rPr>
                <w:rFonts w:ascii="Arial" w:cs="Arial" w:eastAsia="Arial" w:hAnsi="Arial"/>
                <w:color w:val="333333"/>
                <w:sz w:val="18"/>
                <w:szCs w:val="18"/>
              </w:rPr>
              <w:t xml:space="preserve">3.440</w:t>
            </w:r>
          </w:p>
        </w:tc>
        <w:tc>
          <w:tcPr>
            <w:tcW w:type="dxa" w:w="978"/>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pPr>
              <w:jc w:val="center"/>
            </w:pPr>
            <w:r>
              <w:rPr>
                <w:rFonts w:ascii="Arial" w:cs="Arial" w:eastAsia="Arial" w:hAnsi="Arial"/>
                <w:color w:val="333333"/>
                <w:sz w:val="18"/>
                <w:szCs w:val="18"/>
              </w:rPr>
              <w:t xml:space="preserve">3.440</w:t>
            </w:r>
          </w:p>
        </w:tc>
        <w:tc>
          <w:tcPr>
            <w:tcW w:type="dxa" w:w="978"/>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pPr>
              <w:jc w:val="center"/>
            </w:pPr>
            <w:r>
              <w:rPr>
                <w:rFonts w:ascii="Arial" w:cs="Arial" w:eastAsia="Arial" w:hAnsi="Arial"/>
                <w:color w:val="333333"/>
                <w:sz w:val="18"/>
                <w:szCs w:val="18"/>
              </w:rPr>
              <w:t xml:space="preserve">3.560</w:t>
            </w:r>
          </w:p>
        </w:tc>
        <w:tc>
          <w:tcPr>
            <w:tcW w:type="dxa" w:w="978"/>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pPr>
              <w:jc w:val="center"/>
            </w:pPr>
            <w:r>
              <w:rPr>
                <w:rFonts w:ascii="Arial" w:cs="Arial" w:eastAsia="Arial" w:hAnsi="Arial"/>
                <w:color w:val="333333"/>
                <w:sz w:val="18"/>
                <w:szCs w:val="18"/>
              </w:rPr>
              <w:t xml:space="preserve">3.412</w:t>
            </w:r>
          </w:p>
        </w:tc>
        <w:tc>
          <w:tcPr>
            <w:tcW w:type="dxa" w:w="978"/>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pPr>
              <w:jc w:val="center"/>
            </w:pPr>
            <w:r>
              <w:rPr>
                <w:rFonts w:ascii="Arial" w:cs="Arial" w:eastAsia="Arial" w:hAnsi="Arial"/>
                <w:color w:val="333333"/>
                <w:sz w:val="18"/>
                <w:szCs w:val="18"/>
              </w:rPr>
              <w:t xml:space="preserve">3.333</w:t>
            </w:r>
          </w:p>
        </w:tc>
        <w:tc>
          <w:tcPr>
            <w:tcW w:type="dxa" w:w="978"/>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pPr>
              <w:jc w:val="center"/>
            </w:pPr>
            <w:r>
              <w:rPr>
                <w:rFonts w:ascii="Arial" w:cs="Arial" w:eastAsia="Arial" w:hAnsi="Arial"/>
                <w:color w:val="333333"/>
                <w:sz w:val="18"/>
                <w:szCs w:val="18"/>
              </w:rPr>
              <w:t xml:space="preserve">3.333</w:t>
            </w:r>
          </w:p>
        </w:tc>
        <w:tc>
          <w:tcPr>
            <w:tcW w:type="dxa" w:w="978"/>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pPr>
              <w:jc w:val="center"/>
            </w:pPr>
            <w:r>
              <w:rPr>
                <w:rFonts w:ascii="Arial" w:cs="Arial" w:eastAsia="Arial" w:hAnsi="Arial"/>
                <w:color w:val="333333"/>
                <w:sz w:val="18"/>
                <w:szCs w:val="18"/>
              </w:rPr>
              <w:t xml:space="preserve">3.412</w:t>
            </w:r>
          </w:p>
        </w:tc>
        <w:tc>
          <w:tcPr>
            <w:tcW w:type="dxa" w:w="978"/>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pPr>
              <w:jc w:val="center"/>
            </w:pPr>
            <w:r>
              <w:rPr>
                <w:rFonts w:ascii="Arial" w:cs="Arial" w:eastAsia="Arial" w:hAnsi="Arial"/>
                <w:color w:val="333333"/>
                <w:sz w:val="18"/>
                <w:szCs w:val="18"/>
              </w:rPr>
              <w:t xml:space="preserve">3.412</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S36</w:t>
            </w:r>
          </w:p>
        </w:tc>
        <w:tc>
          <w:tcPr>
            <w:tcW w:type="dxa" w:w="978"/>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color w:val="333333"/>
                <w:sz w:val="18"/>
                <w:szCs w:val="18"/>
              </w:rPr>
              <w:t xml:space="preserve">3.400</w:t>
            </w:r>
          </w:p>
        </w:tc>
        <w:tc>
          <w:tcPr>
            <w:tcW w:type="dxa" w:w="978"/>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color w:val="333333"/>
                <w:sz w:val="18"/>
                <w:szCs w:val="18"/>
              </w:rPr>
              <w:t xml:space="preserve">3.400</w:t>
            </w:r>
          </w:p>
        </w:tc>
        <w:tc>
          <w:tcPr>
            <w:tcW w:type="dxa" w:w="978"/>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color w:val="333333"/>
                <w:sz w:val="18"/>
                <w:szCs w:val="18"/>
              </w:rPr>
              <w:t xml:space="preserve">3.520</w:t>
            </w:r>
          </w:p>
        </w:tc>
        <w:tc>
          <w:tcPr>
            <w:tcW w:type="dxa" w:w="978"/>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color w:val="333333"/>
                <w:sz w:val="18"/>
                <w:szCs w:val="18"/>
              </w:rPr>
              <w:t xml:space="preserve">3.373</w:t>
            </w:r>
          </w:p>
        </w:tc>
        <w:tc>
          <w:tcPr>
            <w:tcW w:type="dxa" w:w="978"/>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color w:val="333333"/>
                <w:sz w:val="18"/>
                <w:szCs w:val="18"/>
              </w:rPr>
              <w:t xml:space="preserve">3.294</w:t>
            </w:r>
          </w:p>
        </w:tc>
        <w:tc>
          <w:tcPr>
            <w:tcW w:type="dxa" w:w="978"/>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color w:val="333333"/>
                <w:sz w:val="18"/>
                <w:szCs w:val="18"/>
              </w:rPr>
              <w:t xml:space="preserve">3.294</w:t>
            </w:r>
          </w:p>
        </w:tc>
        <w:tc>
          <w:tcPr>
            <w:tcW w:type="dxa" w:w="978"/>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color w:val="333333"/>
                <w:sz w:val="18"/>
                <w:szCs w:val="18"/>
              </w:rPr>
              <w:t xml:space="preserve">3.373</w:t>
            </w:r>
          </w:p>
        </w:tc>
        <w:tc>
          <w:tcPr>
            <w:tcW w:type="dxa" w:w="978"/>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color w:val="333333"/>
                <w:sz w:val="18"/>
                <w:szCs w:val="18"/>
              </w:rPr>
              <w:t xml:space="preserve">3.373</w:t>
            </w:r>
          </w:p>
        </w:tc>
      </w:tr>
    </w:tbl>
    <w:p>
      <w:pPr>
        <w:spacing w:before="200"/>
      </w:pPr>
    </w:p>
    <w:p>
      <w:pPr>
        <w:pStyle w:val="Heading3"/>
        <w:spacing w:after="120" w:before="200"/>
      </w:pPr>
      <w:r>
        <w:rPr>
          <w:rFonts w:ascii="Arial" w:cs="Arial" w:eastAsia="Arial" w:hAnsi="Arial"/>
        </w:rPr>
        <w:t xml:space="preserve">2.2 월별 단가 (2025.9 ~ 2026.3)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118"/>
        <w:gridCol w:w="1118"/>
        <w:gridCol w:w="1118"/>
        <w:gridCol w:w="1118"/>
        <w:gridCol w:w="1118"/>
        <w:gridCol w:w="1118"/>
        <w:gridCol w:w="1118"/>
      </w:tblGrid>
      <w:tr>
        <w:tc>
          <w:tcPr>
            <w:tcW w:type="dxa" w:w="120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품목</w:t>
            </w:r>
          </w:p>
        </w:tc>
        <w:tc>
          <w:tcPr>
            <w:tcW w:type="dxa" w:w="1118"/>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'25.9</w:t>
            </w:r>
          </w:p>
        </w:tc>
        <w:tc>
          <w:tcPr>
            <w:tcW w:type="dxa" w:w="1118"/>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'25.10</w:t>
            </w:r>
          </w:p>
        </w:tc>
        <w:tc>
          <w:tcPr>
            <w:tcW w:type="dxa" w:w="1118"/>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'25.11</w:t>
            </w:r>
          </w:p>
        </w:tc>
        <w:tc>
          <w:tcPr>
            <w:tcW w:type="dxa" w:w="1118"/>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'25.12</w:t>
            </w:r>
          </w:p>
        </w:tc>
        <w:tc>
          <w:tcPr>
            <w:tcW w:type="dxa" w:w="1118"/>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'26.1</w:t>
            </w:r>
          </w:p>
        </w:tc>
        <w:tc>
          <w:tcPr>
            <w:tcW w:type="dxa" w:w="1118"/>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'26.2</w:t>
            </w:r>
          </w:p>
        </w:tc>
        <w:tc>
          <w:tcPr>
            <w:tcW w:type="dxa" w:w="1118"/>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'26.3</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ADC12</w:t>
            </w:r>
          </w:p>
        </w:tc>
        <w:tc>
          <w:tcPr>
            <w:tcW w:type="dxa" w:w="11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color w:val="333333"/>
                <w:sz w:val="18"/>
                <w:szCs w:val="18"/>
              </w:rPr>
              <w:t xml:space="preserve">2.769</w:t>
            </w:r>
          </w:p>
        </w:tc>
        <w:tc>
          <w:tcPr>
            <w:tcW w:type="dxa" w:w="11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color w:val="333333"/>
                <w:sz w:val="18"/>
                <w:szCs w:val="18"/>
              </w:rPr>
              <w:t xml:space="preserve">2.808</w:t>
            </w:r>
          </w:p>
        </w:tc>
        <w:tc>
          <w:tcPr>
            <w:tcW w:type="dxa" w:w="11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color w:val="333333"/>
                <w:sz w:val="18"/>
                <w:szCs w:val="18"/>
              </w:rPr>
              <w:t xml:space="preserve">2.923</w:t>
            </w:r>
          </w:p>
        </w:tc>
        <w:tc>
          <w:tcPr>
            <w:tcW w:type="dxa" w:w="11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color w:val="333333"/>
                <w:sz w:val="18"/>
                <w:szCs w:val="18"/>
              </w:rPr>
              <w:t xml:space="preserve">2.923</w:t>
            </w:r>
          </w:p>
        </w:tc>
        <w:tc>
          <w:tcPr>
            <w:tcW w:type="dxa" w:w="11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color w:val="333333"/>
                <w:sz w:val="18"/>
                <w:szCs w:val="18"/>
              </w:rPr>
              <w:t xml:space="preserve">3.000</w:t>
            </w:r>
          </w:p>
        </w:tc>
        <w:tc>
          <w:tcPr>
            <w:tcW w:type="dxa" w:w="11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color w:val="333333"/>
                <w:sz w:val="18"/>
                <w:szCs w:val="18"/>
              </w:rPr>
              <w:t xml:space="preserve">3.038</w:t>
            </w:r>
          </w:p>
        </w:tc>
        <w:tc>
          <w:tcPr>
            <w:tcW w:type="dxa" w:w="11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color w:val="333333"/>
                <w:sz w:val="18"/>
                <w:szCs w:val="18"/>
              </w:rPr>
              <w:t xml:space="preserve">3.115</w:t>
            </w:r>
          </w:p>
        </w:tc>
      </w:tr>
      <w:tr>
        <w:tc>
          <w:tcPr>
            <w:tcW w:type="dxa" w:w="12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pPr>
              <w:jc w:val="left"/>
            </w:pPr>
            <w:r>
              <w:rPr>
                <w:rFonts w:ascii="Arial" w:cs="Arial" w:eastAsia="Arial" w:hAnsi="Arial"/>
                <w:b/>
                <w:bCs/>
                <w:color w:val="333333"/>
                <w:sz w:val="18"/>
                <w:szCs w:val="18"/>
              </w:rPr>
              <w:t xml:space="preserve">S3Y</w:t>
            </w:r>
          </w:p>
        </w:tc>
        <w:tc>
          <w:tcPr>
            <w:tcW w:type="dxa" w:w="1118"/>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pPr>
              <w:jc w:val="center"/>
            </w:pPr>
            <w:r>
              <w:rPr>
                <w:rFonts w:ascii="Arial" w:cs="Arial" w:eastAsia="Arial" w:hAnsi="Arial"/>
                <w:color w:val="333333"/>
                <w:sz w:val="18"/>
                <w:szCs w:val="18"/>
              </w:rPr>
              <w:t xml:space="preserve">3.423</w:t>
            </w:r>
          </w:p>
        </w:tc>
        <w:tc>
          <w:tcPr>
            <w:tcW w:type="dxa" w:w="1118"/>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pPr>
              <w:jc w:val="center"/>
            </w:pPr>
            <w:r>
              <w:rPr>
                <w:rFonts w:ascii="Arial" w:cs="Arial" w:eastAsia="Arial" w:hAnsi="Arial"/>
                <w:color w:val="333333"/>
                <w:sz w:val="18"/>
                <w:szCs w:val="18"/>
              </w:rPr>
              <w:t xml:space="preserve">3.500</w:t>
            </w:r>
          </w:p>
        </w:tc>
        <w:tc>
          <w:tcPr>
            <w:tcW w:type="dxa" w:w="1118"/>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pPr>
              <w:jc w:val="center"/>
            </w:pPr>
            <w:r>
              <w:rPr>
                <w:rFonts w:ascii="Arial" w:cs="Arial" w:eastAsia="Arial" w:hAnsi="Arial"/>
                <w:color w:val="333333"/>
                <w:sz w:val="18"/>
                <w:szCs w:val="18"/>
              </w:rPr>
              <w:t xml:space="preserve">3.615</w:t>
            </w:r>
          </w:p>
        </w:tc>
        <w:tc>
          <w:tcPr>
            <w:tcW w:type="dxa" w:w="1118"/>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pPr>
              <w:jc w:val="center"/>
            </w:pPr>
            <w:r>
              <w:rPr>
                <w:rFonts w:ascii="Arial" w:cs="Arial" w:eastAsia="Arial" w:hAnsi="Arial"/>
                <w:color w:val="333333"/>
                <w:sz w:val="18"/>
                <w:szCs w:val="18"/>
              </w:rPr>
              <w:t xml:space="preserve">3.654</w:t>
            </w:r>
          </w:p>
        </w:tc>
        <w:tc>
          <w:tcPr>
            <w:tcW w:type="dxa" w:w="1118"/>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pPr>
              <w:jc w:val="center"/>
            </w:pPr>
            <w:r>
              <w:rPr>
                <w:rFonts w:ascii="Arial" w:cs="Arial" w:eastAsia="Arial" w:hAnsi="Arial"/>
                <w:color w:val="333333"/>
                <w:sz w:val="18"/>
                <w:szCs w:val="18"/>
              </w:rPr>
              <w:t xml:space="preserve">3.654</w:t>
            </w:r>
          </w:p>
        </w:tc>
        <w:tc>
          <w:tcPr>
            <w:tcW w:type="dxa" w:w="1118"/>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pPr>
              <w:jc w:val="center"/>
            </w:pPr>
            <w:r>
              <w:rPr>
                <w:rFonts w:ascii="Arial" w:cs="Arial" w:eastAsia="Arial" w:hAnsi="Arial"/>
                <w:color w:val="333333"/>
                <w:sz w:val="18"/>
                <w:szCs w:val="18"/>
              </w:rPr>
              <w:t xml:space="preserve">3.808</w:t>
            </w:r>
          </w:p>
        </w:tc>
        <w:tc>
          <w:tcPr>
            <w:tcW w:type="dxa" w:w="1118"/>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pPr>
              <w:jc w:val="center"/>
            </w:pPr>
            <w:r>
              <w:rPr>
                <w:rFonts w:ascii="Arial" w:cs="Arial" w:eastAsia="Arial" w:hAnsi="Arial"/>
                <w:color w:val="333333"/>
                <w:sz w:val="18"/>
                <w:szCs w:val="18"/>
              </w:rPr>
              <w:t xml:space="preserve">3.923</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S36</w:t>
            </w:r>
          </w:p>
        </w:tc>
        <w:tc>
          <w:tcPr>
            <w:tcW w:type="dxa" w:w="11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color w:val="333333"/>
                <w:sz w:val="18"/>
                <w:szCs w:val="18"/>
              </w:rPr>
              <w:t xml:space="preserve">3.385</w:t>
            </w:r>
          </w:p>
        </w:tc>
        <w:tc>
          <w:tcPr>
            <w:tcW w:type="dxa" w:w="11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color w:val="333333"/>
                <w:sz w:val="18"/>
                <w:szCs w:val="18"/>
              </w:rPr>
              <w:t xml:space="preserve">3.462</w:t>
            </w:r>
          </w:p>
        </w:tc>
        <w:tc>
          <w:tcPr>
            <w:tcW w:type="dxa" w:w="11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color w:val="333333"/>
                <w:sz w:val="18"/>
                <w:szCs w:val="18"/>
              </w:rPr>
              <w:t xml:space="preserve">3.577</w:t>
            </w:r>
          </w:p>
        </w:tc>
        <w:tc>
          <w:tcPr>
            <w:tcW w:type="dxa" w:w="11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color w:val="333333"/>
                <w:sz w:val="18"/>
                <w:szCs w:val="18"/>
              </w:rPr>
              <w:t xml:space="preserve">3.615</w:t>
            </w:r>
          </w:p>
        </w:tc>
        <w:tc>
          <w:tcPr>
            <w:tcW w:type="dxa" w:w="11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color w:val="333333"/>
                <w:sz w:val="18"/>
                <w:szCs w:val="18"/>
              </w:rPr>
              <w:t xml:space="preserve">3.615</w:t>
            </w:r>
          </w:p>
        </w:tc>
        <w:tc>
          <w:tcPr>
            <w:tcW w:type="dxa" w:w="11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color w:val="333333"/>
                <w:sz w:val="18"/>
                <w:szCs w:val="18"/>
              </w:rPr>
              <w:t xml:space="preserve">3.769</w:t>
            </w:r>
          </w:p>
        </w:tc>
        <w:tc>
          <w:tcPr>
            <w:tcW w:type="dxa" w:w="11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color w:val="333333"/>
                <w:sz w:val="18"/>
                <w:szCs w:val="18"/>
              </w:rPr>
              <w:t xml:space="preserve">3.846</w:t>
            </w:r>
          </w:p>
        </w:tc>
      </w:tr>
    </w:tbl>
    <w:p>
      <w:pPr>
        <w:spacing w:before="200"/>
      </w:pPr>
    </w:p>
    <w:p>
      <w:pPr>
        <w:pStyle w:val="Heading3"/>
        <w:spacing w:after="120" w:before="200"/>
      </w:pPr>
      <w:r>
        <w:rPr>
          <w:rFonts w:ascii="Arial" w:cs="Arial" w:eastAsia="Arial" w:hAnsi="Arial"/>
        </w:rPr>
        <w:t xml:space="preserve">2.3 분기별 평균 단가 및 QoQ 변동률</w:t>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900"/>
        <w:gridCol w:w="900"/>
        <w:gridCol w:w="1200"/>
        <w:gridCol w:w="1200"/>
        <w:gridCol w:w="1200"/>
      </w:tblGrid>
      <w:tr>
        <w:tc>
          <w:tcPr>
            <w:tcW w:type="dxa" w:w="100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분기</w:t>
            </w:r>
          </w:p>
        </w:tc>
        <w:tc>
          <w:tcPr>
            <w:tcW w:type="dxa" w:w="90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ADC12</w:t>
            </w:r>
          </w:p>
        </w:tc>
        <w:tc>
          <w:tcPr>
            <w:tcW w:type="dxa" w:w="90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S3Y</w:t>
            </w:r>
          </w:p>
        </w:tc>
        <w:tc>
          <w:tcPr>
            <w:tcW w:type="dxa" w:w="90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S36</w:t>
            </w:r>
          </w:p>
        </w:tc>
        <w:tc>
          <w:tcPr>
            <w:tcW w:type="dxa" w:w="120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ADC12 QoQ</w:t>
            </w:r>
          </w:p>
        </w:tc>
        <w:tc>
          <w:tcPr>
            <w:tcW w:type="dxa" w:w="120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S3Y QoQ</w:t>
            </w:r>
          </w:p>
        </w:tc>
        <w:tc>
          <w:tcPr>
            <w:tcW w:type="dxa" w:w="120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S36 QoQ</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color w:val="333333"/>
                <w:sz w:val="18"/>
                <w:szCs w:val="18"/>
              </w:rPr>
              <w:t xml:space="preserve">Q1-25</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color w:val="333333"/>
                <w:sz w:val="18"/>
                <w:szCs w:val="18"/>
              </w:rPr>
              <w:t xml:space="preserve">2.907</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color w:val="333333"/>
                <w:sz w:val="18"/>
                <w:szCs w:val="18"/>
              </w:rPr>
              <w:t xml:space="preserve">3.480</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color w:val="333333"/>
                <w:sz w:val="18"/>
                <w:szCs w:val="18"/>
              </w:rPr>
              <w:t xml:space="preserve">3.440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color w:val="333333"/>
                <w:sz w:val="18"/>
                <w:szCs w:val="18"/>
              </w:rPr>
              <w:t xml:space="preserv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color w:val="333333"/>
                <w:sz w:val="18"/>
                <w:szCs w:val="18"/>
              </w:rPr>
              <w:t xml:space="preserv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color w:val="333333"/>
                <w:sz w:val="18"/>
                <w:szCs w:val="18"/>
              </w:rPr>
              <w:t xml:space="preserve">-</w:t>
            </w:r>
          </w:p>
        </w:tc>
      </w:tr>
      <w:tr>
        <w:tc>
          <w:tcPr>
            <w:tcW w:type="dxa" w:w="10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pPr>
              <w:jc w:val="center"/>
            </w:pPr>
            <w:r>
              <w:rPr>
                <w:rFonts w:ascii="Arial" w:cs="Arial" w:eastAsia="Arial" w:hAnsi="Arial"/>
                <w:color w:val="333333"/>
                <w:sz w:val="18"/>
                <w:szCs w:val="18"/>
              </w:rPr>
              <w:t xml:space="preserve">Q2-25</w:t>
            </w:r>
          </w:p>
        </w:tc>
        <w:tc>
          <w:tcPr>
            <w:tcW w:type="dxa" w:w="9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pPr>
              <w:jc w:val="center"/>
            </w:pPr>
            <w:r>
              <w:rPr>
                <w:rFonts w:ascii="Arial" w:cs="Arial" w:eastAsia="Arial" w:hAnsi="Arial"/>
                <w:color w:val="333333"/>
                <w:sz w:val="18"/>
                <w:szCs w:val="18"/>
              </w:rPr>
              <w:t xml:space="preserve">2.758</w:t>
            </w:r>
          </w:p>
        </w:tc>
        <w:tc>
          <w:tcPr>
            <w:tcW w:type="dxa" w:w="9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pPr>
              <w:jc w:val="center"/>
            </w:pPr>
            <w:r>
              <w:rPr>
                <w:rFonts w:ascii="Arial" w:cs="Arial" w:eastAsia="Arial" w:hAnsi="Arial"/>
                <w:color w:val="333333"/>
                <w:sz w:val="18"/>
                <w:szCs w:val="18"/>
              </w:rPr>
              <w:t xml:space="preserve">3.360</w:t>
            </w:r>
          </w:p>
        </w:tc>
        <w:tc>
          <w:tcPr>
            <w:tcW w:type="dxa" w:w="9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pPr>
              <w:jc w:val="center"/>
            </w:pPr>
            <w:r>
              <w:rPr>
                <w:rFonts w:ascii="Arial" w:cs="Arial" w:eastAsia="Arial" w:hAnsi="Arial"/>
                <w:color w:val="333333"/>
                <w:sz w:val="18"/>
                <w:szCs w:val="18"/>
              </w:rPr>
              <w:t xml:space="preserve">3.320</w:t>
            </w:r>
          </w:p>
        </w:tc>
        <w:tc>
          <w:tcPr>
            <w:tcW w:type="dxa" w:w="12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pPr>
              <w:jc w:val="center"/>
            </w:pPr>
            <w:r>
              <w:rPr>
                <w:rFonts w:ascii="Arial" w:cs="Arial" w:eastAsia="Arial" w:hAnsi="Arial"/>
                <w:color w:val="CC0000"/>
                <w:sz w:val="18"/>
                <w:szCs w:val="18"/>
              </w:rPr>
              <w:t xml:space="preserve">-5.11%</w:t>
            </w:r>
          </w:p>
        </w:tc>
        <w:tc>
          <w:tcPr>
            <w:tcW w:type="dxa" w:w="12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pPr>
              <w:jc w:val="center"/>
            </w:pPr>
            <w:r>
              <w:rPr>
                <w:rFonts w:ascii="Arial" w:cs="Arial" w:eastAsia="Arial" w:hAnsi="Arial"/>
                <w:color w:val="CC0000"/>
                <w:sz w:val="18"/>
                <w:szCs w:val="18"/>
              </w:rPr>
              <w:t xml:space="preserve">-3.46%</w:t>
            </w:r>
          </w:p>
        </w:tc>
        <w:tc>
          <w:tcPr>
            <w:tcW w:type="dxa" w:w="12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pPr>
              <w:jc w:val="center"/>
            </w:pPr>
            <w:r>
              <w:rPr>
                <w:rFonts w:ascii="Arial" w:cs="Arial" w:eastAsia="Arial" w:hAnsi="Arial"/>
                <w:color w:val="CC0000"/>
                <w:sz w:val="18"/>
                <w:szCs w:val="18"/>
              </w:rPr>
              <w:t xml:space="preserve">-3.48%</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color w:val="333333"/>
                <w:sz w:val="18"/>
                <w:szCs w:val="18"/>
              </w:rPr>
              <w:t xml:space="preserve">Q3-25</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color w:val="333333"/>
                <w:sz w:val="18"/>
                <w:szCs w:val="18"/>
              </w:rPr>
              <w:t xml:space="preserve">2.779</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color w:val="333333"/>
                <w:sz w:val="18"/>
                <w:szCs w:val="18"/>
              </w:rPr>
              <w:t xml:space="preserve">3.416</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color w:val="333333"/>
                <w:sz w:val="18"/>
                <w:szCs w:val="18"/>
              </w:rPr>
              <w:t xml:space="preserve">3.377</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color w:val="006600"/>
                <w:sz w:val="18"/>
                <w:szCs w:val="18"/>
              </w:rPr>
              <w:t xml:space="preserve">+0.77%</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color w:val="006600"/>
                <w:sz w:val="18"/>
                <w:szCs w:val="18"/>
              </w:rPr>
              <w:t xml:space="preserve">+1.67%</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color w:val="006600"/>
                <w:sz w:val="18"/>
                <w:szCs w:val="18"/>
              </w:rPr>
              <w:t xml:space="preserve">+1.70%</w:t>
            </w:r>
          </w:p>
        </w:tc>
      </w:tr>
      <w:tr>
        <w:tc>
          <w:tcPr>
            <w:tcW w:type="dxa" w:w="10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pPr>
              <w:jc w:val="center"/>
            </w:pPr>
            <w:r>
              <w:rPr>
                <w:rFonts w:ascii="Arial" w:cs="Arial" w:eastAsia="Arial" w:hAnsi="Arial"/>
                <w:color w:val="333333"/>
                <w:sz w:val="18"/>
                <w:szCs w:val="18"/>
              </w:rPr>
              <w:t xml:space="preserve">Q4-25</w:t>
            </w:r>
          </w:p>
        </w:tc>
        <w:tc>
          <w:tcPr>
            <w:tcW w:type="dxa" w:w="9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pPr>
              <w:jc w:val="center"/>
            </w:pPr>
            <w:r>
              <w:rPr>
                <w:rFonts w:ascii="Arial" w:cs="Arial" w:eastAsia="Arial" w:hAnsi="Arial"/>
                <w:color w:val="333333"/>
                <w:sz w:val="18"/>
                <w:szCs w:val="18"/>
              </w:rPr>
              <w:t xml:space="preserve">2.885</w:t>
            </w:r>
          </w:p>
        </w:tc>
        <w:tc>
          <w:tcPr>
            <w:tcW w:type="dxa" w:w="9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pPr>
              <w:jc w:val="center"/>
            </w:pPr>
            <w:r>
              <w:rPr>
                <w:rFonts w:ascii="Arial" w:cs="Arial" w:eastAsia="Arial" w:hAnsi="Arial"/>
                <w:color w:val="333333"/>
                <w:sz w:val="18"/>
                <w:szCs w:val="18"/>
              </w:rPr>
              <w:t xml:space="preserve">3.590</w:t>
            </w:r>
          </w:p>
        </w:tc>
        <w:tc>
          <w:tcPr>
            <w:tcW w:type="dxa" w:w="9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pPr>
              <w:jc w:val="center"/>
            </w:pPr>
            <w:r>
              <w:rPr>
                <w:rFonts w:ascii="Arial" w:cs="Arial" w:eastAsia="Arial" w:hAnsi="Arial"/>
                <w:color w:val="333333"/>
                <w:sz w:val="18"/>
                <w:szCs w:val="18"/>
              </w:rPr>
              <w:t xml:space="preserve">3.551</w:t>
            </w:r>
          </w:p>
        </w:tc>
        <w:tc>
          <w:tcPr>
            <w:tcW w:type="dxa" w:w="12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pPr>
              <w:jc w:val="center"/>
            </w:pPr>
            <w:r>
              <w:rPr>
                <w:rFonts w:ascii="Arial" w:cs="Arial" w:eastAsia="Arial" w:hAnsi="Arial"/>
                <w:color w:val="006600"/>
                <w:sz w:val="18"/>
                <w:szCs w:val="18"/>
              </w:rPr>
              <w:t xml:space="preserve">+3.79%</w:t>
            </w:r>
          </w:p>
        </w:tc>
        <w:tc>
          <w:tcPr>
            <w:tcW w:type="dxa" w:w="12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pPr>
              <w:jc w:val="center"/>
            </w:pPr>
            <w:r>
              <w:rPr>
                <w:rFonts w:ascii="Arial" w:cs="Arial" w:eastAsia="Arial" w:hAnsi="Arial"/>
                <w:color w:val="006600"/>
                <w:sz w:val="18"/>
                <w:szCs w:val="18"/>
              </w:rPr>
              <w:t xml:space="preserve">+5.10%</w:t>
            </w:r>
          </w:p>
        </w:tc>
        <w:tc>
          <w:tcPr>
            <w:tcW w:type="dxa" w:w="12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pPr>
              <w:jc w:val="center"/>
            </w:pPr>
            <w:r>
              <w:rPr>
                <w:rFonts w:ascii="Arial" w:cs="Arial" w:eastAsia="Arial" w:hAnsi="Arial"/>
                <w:color w:val="006600"/>
                <w:sz w:val="18"/>
                <w:szCs w:val="18"/>
              </w:rPr>
              <w:t xml:space="preserve">+5.17%</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color w:val="333333"/>
                <w:sz w:val="18"/>
                <w:szCs w:val="18"/>
              </w:rPr>
              <w:t xml:space="preserve">Q1-26</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color w:val="333333"/>
                <w:sz w:val="18"/>
                <w:szCs w:val="18"/>
              </w:rPr>
              <w:t xml:space="preserve">3.051</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color w:val="333333"/>
                <w:sz w:val="18"/>
                <w:szCs w:val="18"/>
              </w:rPr>
              <w:t xml:space="preserve">3.795</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color w:val="333333"/>
                <w:sz w:val="18"/>
                <w:szCs w:val="18"/>
              </w:rPr>
              <w:t xml:space="preserve">3.744</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color w:val="006600"/>
                <w:sz w:val="18"/>
                <w:szCs w:val="18"/>
              </w:rPr>
              <w:t xml:space="preserve">+5.78%</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color w:val="006600"/>
                <w:sz w:val="18"/>
                <w:szCs w:val="18"/>
              </w:rPr>
              <w:t xml:space="preserve">+5.71%</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color w:val="006600"/>
                <w:sz w:val="18"/>
                <w:szCs w:val="18"/>
              </w:rPr>
              <w:t xml:space="preserve">+5.42%</w:t>
            </w:r>
          </w:p>
        </w:tc>
      </w:tr>
    </w:tbl>
    <w:p>
      <w:pPr>
        <w:spacing w:before="200"/>
      </w:pPr>
    </w:p>
    <w:p>
      <w:pPr>
        <w:pStyle w:val="Heading3"/>
        <w:spacing w:after="120" w:before="200"/>
      </w:pPr>
      <w:r>
        <w:rPr>
          <w:rFonts w:ascii="Arial" w:cs="Arial" w:eastAsia="Arial" w:hAnsi="Arial"/>
        </w:rPr>
        <w:t xml:space="preserve">2.4 YoY 전년 동기 대비 변동률</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800"/>
        <w:gridCol w:w="1800"/>
        <w:gridCol w:w="2400"/>
      </w:tblGrid>
      <w:tr>
        <w:tc>
          <w:tcPr>
            <w:tcW w:type="dxa" w:w="120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월</w:t>
            </w:r>
          </w:p>
        </w:tc>
        <w:tc>
          <w:tcPr>
            <w:tcW w:type="dxa" w:w="120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품목</w:t>
            </w:r>
          </w:p>
        </w:tc>
        <w:tc>
          <w:tcPr>
            <w:tcW w:type="dxa" w:w="180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2025</w:t>
            </w:r>
          </w:p>
        </w:tc>
        <w:tc>
          <w:tcPr>
            <w:tcW w:type="dxa" w:w="180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2026</w:t>
            </w:r>
          </w:p>
        </w:tc>
        <w:tc>
          <w:tcPr>
            <w:tcW w:type="dxa" w:w="240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YoY 변동률</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Jan</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ADC12</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2.880</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3.000</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color w:val="CC0000"/>
                <w:sz w:val="18"/>
                <w:szCs w:val="18"/>
              </w:rPr>
              <w:t xml:space="preserve">+4.17%</w:t>
            </w:r>
          </w:p>
        </w:tc>
      </w:tr>
      <w:tr>
        <w:tc>
          <w:tcPr>
            <w:tcW w:type="dxa" w:w="12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Jan</w:t>
            </w:r>
          </w:p>
        </w:tc>
        <w:tc>
          <w:tcPr>
            <w:tcW w:type="dxa" w:w="12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S3Y</w:t>
            </w:r>
          </w:p>
        </w:tc>
        <w:tc>
          <w:tcPr>
            <w:tcW w:type="dxa" w:w="18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3.440</w:t>
            </w:r>
          </w:p>
        </w:tc>
        <w:tc>
          <w:tcPr>
            <w:tcW w:type="dxa" w:w="18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3.654</w:t>
            </w:r>
          </w:p>
        </w:tc>
        <w:tc>
          <w:tcPr>
            <w:tcW w:type="dxa" w:w="24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+6.22%</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Jan</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S36</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3.400</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3.615</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color w:val="CC0000"/>
                <w:sz w:val="18"/>
                <w:szCs w:val="18"/>
              </w:rPr>
              <w:t xml:space="preserve">+6.33%</w:t>
            </w:r>
          </w:p>
        </w:tc>
      </w:tr>
      <w:tr>
        <w:tc>
          <w:tcPr>
            <w:tcW w:type="dxa" w:w="12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Feb</w:t>
            </w:r>
          </w:p>
        </w:tc>
        <w:tc>
          <w:tcPr>
            <w:tcW w:type="dxa" w:w="12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ADC12</w:t>
            </w:r>
          </w:p>
        </w:tc>
        <w:tc>
          <w:tcPr>
            <w:tcW w:type="dxa" w:w="18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2.880</w:t>
            </w:r>
          </w:p>
        </w:tc>
        <w:tc>
          <w:tcPr>
            <w:tcW w:type="dxa" w:w="18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3.038</w:t>
            </w:r>
          </w:p>
        </w:tc>
        <w:tc>
          <w:tcPr>
            <w:tcW w:type="dxa" w:w="24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+5.50%</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Feb</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S3Y</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3.440</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3.808</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color w:val="CC0000"/>
                <w:sz w:val="18"/>
                <w:szCs w:val="18"/>
              </w:rPr>
              <w:t xml:space="preserve">+10.69%</w:t>
            </w:r>
          </w:p>
        </w:tc>
      </w:tr>
      <w:tr>
        <w:tc>
          <w:tcPr>
            <w:tcW w:type="dxa" w:w="12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Feb</w:t>
            </w:r>
          </w:p>
        </w:tc>
        <w:tc>
          <w:tcPr>
            <w:tcW w:type="dxa" w:w="12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S36</w:t>
            </w:r>
          </w:p>
        </w:tc>
        <w:tc>
          <w:tcPr>
            <w:tcW w:type="dxa" w:w="18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3.400</w:t>
            </w:r>
          </w:p>
        </w:tc>
        <w:tc>
          <w:tcPr>
            <w:tcW w:type="dxa" w:w="18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3.769</w:t>
            </w:r>
          </w:p>
        </w:tc>
        <w:tc>
          <w:tcPr>
            <w:tcW w:type="dxa" w:w="24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+10.86%</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Mar</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ADC12</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2.960</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3.115</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color w:val="CC0000"/>
                <w:sz w:val="18"/>
                <w:szCs w:val="18"/>
              </w:rPr>
              <w:t xml:space="preserve">+5.25%</w:t>
            </w:r>
          </w:p>
        </w:tc>
      </w:tr>
      <w:tr>
        <w:tc>
          <w:tcPr>
            <w:tcW w:type="dxa" w:w="12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Mar</w:t>
            </w:r>
          </w:p>
        </w:tc>
        <w:tc>
          <w:tcPr>
            <w:tcW w:type="dxa" w:w="12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S3Y</w:t>
            </w:r>
          </w:p>
        </w:tc>
        <w:tc>
          <w:tcPr>
            <w:tcW w:type="dxa" w:w="18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3.560</w:t>
            </w:r>
          </w:p>
        </w:tc>
        <w:tc>
          <w:tcPr>
            <w:tcW w:type="dxa" w:w="18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3.923</w:t>
            </w:r>
          </w:p>
        </w:tc>
        <w:tc>
          <w:tcPr>
            <w:tcW w:type="dxa" w:w="24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+10.20%</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Mar</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S36</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3.520</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3.846</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color w:val="CC0000"/>
                <w:sz w:val="18"/>
                <w:szCs w:val="18"/>
              </w:rPr>
              <w:t xml:space="preserve">+9.27%</w:t>
            </w:r>
          </w:p>
        </w:tc>
      </w:tr>
    </w:tbl>
    <w:p>
      <w:r>
        <w:br w:type="page"/>
      </w:r>
    </w:p>
    <w:p>
      <w:pPr>
        <w:pStyle w:val="Heading1"/>
        <w:spacing w:after="120" w:before="200"/>
      </w:pPr>
      <w:r>
        <w:rPr>
          <w:rFonts w:ascii="Arial" w:cs="Arial" w:eastAsia="Arial" w:hAnsi="Arial"/>
        </w:rPr>
        <w:t xml:space="preserve">3. 주요 변동 구간 분석</w:t>
      </w:r>
    </w:p>
    <w:p>
      <w:pPr>
        <w:pStyle w:val="Heading2"/>
        <w:spacing w:after="120" w:before="200"/>
      </w:pPr>
      <w:r>
        <w:rPr>
          <w:rFonts w:ascii="Arial" w:cs="Arial" w:eastAsia="Arial" w:hAnsi="Arial"/>
        </w:rPr>
        <w:t xml:space="preserve">3.1 가격 변동성 및 구간 통계</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1800"/>
        <w:gridCol w:w="1200"/>
        <w:gridCol w:w="1200"/>
        <w:gridCol w:w="1400"/>
      </w:tblGrid>
      <w:tr>
        <w:tc>
          <w:tcPr>
            <w:tcW w:type="dxa" w:w="100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품목</w:t>
            </w:r>
          </w:p>
        </w:tc>
        <w:tc>
          <w:tcPr>
            <w:tcW w:type="dxa" w:w="180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최저 (시점)</w:t>
            </w:r>
          </w:p>
        </w:tc>
        <w:tc>
          <w:tcPr>
            <w:tcW w:type="dxa" w:w="180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최고 (시점)</w:t>
            </w:r>
          </w:p>
        </w:tc>
        <w:tc>
          <w:tcPr>
            <w:tcW w:type="dxa" w:w="120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평균</w:t>
            </w:r>
          </w:p>
        </w:tc>
        <w:tc>
          <w:tcPr>
            <w:tcW w:type="dxa" w:w="120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표준편차</w:t>
            </w:r>
          </w:p>
        </w:tc>
        <w:tc>
          <w:tcPr>
            <w:tcW w:type="dxa" w:w="140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CV(%)</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color w:val="333333"/>
                <w:sz w:val="18"/>
                <w:szCs w:val="18"/>
              </w:rPr>
              <w:t xml:space="preserve">ADC12</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2.706 (Jun-25)</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3.115 (Mar-26)</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2.876</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0.117</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4.08%</w:t>
            </w:r>
          </w:p>
        </w:tc>
      </w:tr>
      <w:tr>
        <w:tc>
          <w:tcPr>
            <w:tcW w:type="dxa" w:w="10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S3Y</w:t>
            </w:r>
          </w:p>
        </w:tc>
        <w:tc>
          <w:tcPr>
            <w:tcW w:type="dxa" w:w="18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3.333 (May-25)</w:t>
            </w:r>
          </w:p>
        </w:tc>
        <w:tc>
          <w:tcPr>
            <w:tcW w:type="dxa" w:w="18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3.923 (Mar-26)</w:t>
            </w:r>
          </w:p>
        </w:tc>
        <w:tc>
          <w:tcPr>
            <w:tcW w:type="dxa" w:w="12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3.528</w:t>
            </w:r>
          </w:p>
        </w:tc>
        <w:tc>
          <w:tcPr>
            <w:tcW w:type="dxa" w:w="12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0.173</w:t>
            </w:r>
          </w:p>
        </w:tc>
        <w:tc>
          <w:tcPr>
            <w:tcW w:type="dxa" w:w="14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4.90%</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color w:val="333333"/>
                <w:sz w:val="18"/>
                <w:szCs w:val="18"/>
              </w:rPr>
              <w:t xml:space="preserve">S36</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3.294 (May-25)</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3.846 (Mar-26)</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3.486</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0.167</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4.79%</w:t>
            </w:r>
          </w:p>
        </w:tc>
      </w:tr>
    </w:tbl>
    <w:p>
      <w:pPr>
        <w:spacing w:before="160"/>
      </w:pPr>
    </w:p>
    <w:p>
      <w:pPr>
        <w:pStyle w:val="Heading2"/>
        <w:spacing w:after="120" w:before="200"/>
      </w:pPr>
      <w:r>
        <w:rPr>
          <w:rFonts w:ascii="Arial" w:cs="Arial" w:eastAsia="Arial" w:hAnsi="Arial"/>
        </w:rPr>
        <w:t xml:space="preserve">3.2 품목 간 상관관계 (동조화)</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500"/>
      </w:tblGrid>
      <w:tr>
        <w:tc>
          <w:tcPr>
            <w:tcW w:type="dxa" w:w="150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w:r>
          </w:p>
        </w:tc>
        <w:tc>
          <w:tcPr>
            <w:tcW w:type="dxa" w:w="250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ADC12</w:t>
            </w:r>
          </w:p>
        </w:tc>
        <w:tc>
          <w:tcPr>
            <w:tcW w:type="dxa" w:w="250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S3Y</w:t>
            </w:r>
          </w:p>
        </w:tc>
        <w:tc>
          <w:tcPr>
            <w:tcW w:type="dxa" w:w="250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S36</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color w:val="333333"/>
                <w:sz w:val="18"/>
                <w:szCs w:val="18"/>
              </w:rPr>
              <w:t xml:space="preserve">ADC12</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color w:val="333333"/>
                <w:sz w:val="18"/>
                <w:szCs w:val="18"/>
              </w:rPr>
              <w:t xml:space="preserve">1.000</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0.941</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0.941</w:t>
            </w:r>
          </w:p>
        </w:tc>
      </w:tr>
      <w:tr>
        <w:tc>
          <w:tcPr>
            <w:tcW w:type="dxa" w:w="15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S3Y</w:t>
            </w:r>
          </w:p>
        </w:tc>
        <w:tc>
          <w:tcPr>
            <w:tcW w:type="dxa" w:w="25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0.941</w:t>
            </w:r>
          </w:p>
        </w:tc>
        <w:tc>
          <w:tcPr>
            <w:tcW w:type="dxa" w:w="25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1.000</w:t>
            </w:r>
          </w:p>
        </w:tc>
        <w:tc>
          <w:tcPr>
            <w:tcW w:type="dxa" w:w="25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pPr>
              <w:jc w:val="center"/>
            </w:pPr>
            <w:r>
              <w:rPr>
                <w:rFonts w:ascii="Arial" w:cs="Arial" w:eastAsia="Arial" w:hAnsi="Arial"/>
                <w:b w:val="false"/>
                <w:bCs w:val="false"/>
                <w:color w:val="CC0000"/>
                <w:sz w:val="18"/>
                <w:szCs w:val="18"/>
              </w:rPr>
              <w:t xml:space="preserve">0.999</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color w:val="333333"/>
                <w:sz w:val="18"/>
                <w:szCs w:val="18"/>
              </w:rPr>
              <w:t xml:space="preserve">S36</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0.941</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color w:val="CC0000"/>
                <w:sz w:val="18"/>
                <w:szCs w:val="18"/>
              </w:rPr>
              <w:t xml:space="preserve">0.999</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color w:val="333333"/>
                <w:sz w:val="18"/>
                <w:szCs w:val="18"/>
              </w:rPr>
              <w:t xml:space="preserve">1.000</w:t>
            </w:r>
          </w:p>
        </w:tc>
      </w:tr>
    </w:tbl>
    <w:p>
      <w:pPr>
        <w:spacing w:after="120" w:line="276"/>
      </w:pPr>
      <w:r>
        <w:rPr>
          <w:rFonts w:ascii="Arial" w:cs="Arial" w:eastAsia="Arial" w:hAnsi="Arial"/>
          <w:sz w:val="20"/>
          <w:szCs w:val="20"/>
        </w:rPr>
        <w:t xml:space="preserve">S3Y와 S36의 상관계수가 0.999로 거의 완벽한 동조화를 보이며, ADC12도 0.941로 매우 높은 상관관계를 나타낸다. 세 품목 모두 동일한 알루미늄 원자재 시장의 영향을 받아 동반 상승/하락하는 패턴이 확인된다.</w:t>
      </w:r>
    </w:p>
    <w:p>
      <w:pPr>
        <w:pStyle w:val="Heading2"/>
        <w:spacing w:after="120" w:before="200"/>
      </w:pPr>
      <w:r>
        <w:rPr>
          <w:rFonts w:ascii="Arial" w:cs="Arial" w:eastAsia="Arial" w:hAnsi="Arial"/>
        </w:rPr>
        <w:t xml:space="preserve">3.3 급등 구간 (2025.9~2026.3)</w:t>
      </w:r>
    </w:p>
    <w:p>
      <w:pPr>
        <w:spacing w:after="120" w:line="276"/>
      </w:pPr>
      <w:r>
        <w:rPr>
          <w:rFonts w:ascii="Arial" w:cs="Arial" w:eastAsia="Arial" w:hAnsi="Arial"/>
          <w:b/>
          <w:bCs/>
          <w:sz w:val="20"/>
          <w:szCs w:val="20"/>
        </w:rPr>
        <w:t xml:space="preserve">2025년 9월부터 2026년 3월까지 6개월 연속 상승세</w:t>
      </w:r>
      <w:r>
        <w:rPr>
          <w:rFonts w:ascii="Arial" w:cs="Arial" w:eastAsia="Arial" w:hAnsi="Arial"/>
          <w:sz w:val="20"/>
          <w:szCs w:val="20"/>
        </w:rPr>
        <w:t xml:space="preserve">가 나타났다. ADC12는 2.769에서 3.115로 +12.5%, S3Y는 3.423에서 3.923으로 +14.6%, S36은 3.385에서 3.846으로 +13.6% 상승하였다.</w:t>
      </w:r>
    </w:p>
    <w:p>
      <w:pPr>
        <w:spacing w:after="120" w:line="276"/>
      </w:pPr>
      <w:r>
        <w:rPr>
          <w:rFonts w:ascii="Arial" w:cs="Arial" w:eastAsia="Arial" w:hAnsi="Arial"/>
          <w:sz w:val="20"/>
          <w:szCs w:val="20"/>
        </w:rPr>
        <w:t xml:space="preserve">배경: LME 알루미늄 현물가가 2025년 하반기 톤당 $2,600에서 2026년 초 $3,340까지 급등하였다. 중국의 생산 용량 상한(4,550만 톤)이 2026년 Q2 도달 예상, 중동 분쟁에 따른 걸프 지역(글로벌 생산의 약 10%) 공급 차질, 인도네시아 신규 제련소의 전력 공급 불안 등이 복합 작용하였다.</w:t>
      </w:r>
    </w:p>
    <w:p>
      <w:pPr>
        <w:pStyle w:val="Heading2"/>
        <w:spacing w:after="120" w:before="200"/>
      </w:pPr>
      <w:r>
        <w:rPr>
          <w:rFonts w:ascii="Arial" w:cs="Arial" w:eastAsia="Arial" w:hAnsi="Arial"/>
        </w:rPr>
        <w:t xml:space="preserve">3.4 급락 구간 (2025.3~2025.6)</w:t>
      </w:r>
    </w:p>
    <w:p>
      <w:pPr>
        <w:spacing w:after="120" w:line="276"/>
      </w:pPr>
      <w:r>
        <w:rPr>
          <w:rFonts w:ascii="Arial" w:cs="Arial" w:eastAsia="Arial" w:hAnsi="Arial"/>
          <w:b/>
          <w:bCs/>
          <w:sz w:val="20"/>
          <w:szCs w:val="20"/>
        </w:rPr>
        <w:t xml:space="preserve">2025년 3월 고점 대비 6월까지 전 품목 3~5% 하락</w:t>
      </w:r>
      <w:r>
        <w:rPr>
          <w:rFonts w:ascii="Arial" w:cs="Arial" w:eastAsia="Arial" w:hAnsi="Arial"/>
          <w:sz w:val="20"/>
          <w:szCs w:val="20"/>
        </w:rPr>
        <w:t xml:space="preserve">하였다. ADC12는 2.960에서 2.706으로 -8.6%, S3Y/S36은 약 -6.3% 하락하였다.</w:t>
      </w:r>
    </w:p>
    <w:p>
      <w:pPr>
        <w:spacing w:after="120" w:line="276"/>
      </w:pPr>
      <w:r>
        <w:rPr>
          <w:rFonts w:ascii="Arial" w:cs="Arial" w:eastAsia="Arial" w:hAnsi="Arial"/>
          <w:sz w:val="20"/>
          <w:szCs w:val="20"/>
        </w:rPr>
        <w:t xml:space="preserve">배경: 2025년 Q2 글로벌 경기 둔화 우려에 따른 수요 위축, 중국 알루미늄 수출 증가에 따른 일시적 공급 완화, 달러 강세에 따른 원자재 가격 하방 압력이 작용하였다. 다만, 베트남 현지 공급업체(CHIEN THANG, TANQUANG)는 VND 기준으로는 하락폭이 상대적으로 제한적이었으며, 이는 환율 요인(VND/USD)이 완충 역할을 하였음을 시사한다.</w:t>
      </w:r>
    </w:p>
    <w:p>
      <w:pPr>
        <w:pStyle w:val="Heading1"/>
        <w:spacing w:after="120" w:before="200"/>
      </w:pPr>
      <w:r>
        <w:rPr>
          <w:rFonts w:ascii="Arial" w:cs="Arial" w:eastAsia="Arial" w:hAnsi="Arial"/>
        </w:rPr>
        <w:t xml:space="preserve">4. 시장 전망 및 리스크 요인</w:t>
      </w:r>
    </w:p>
    <w:p>
      <w:pPr>
        <w:pStyle w:val="Heading2"/>
        <w:spacing w:after="120" w:before="200"/>
      </w:pPr>
      <w:r>
        <w:rPr>
          <w:rFonts w:ascii="Arial" w:cs="Arial" w:eastAsia="Arial" w:hAnsi="Arial"/>
        </w:rPr>
        <w:t xml:space="preserve">4.1 향후 3~6개월 가격 방향성: 상승 (높은 확신도)</w:t>
      </w:r>
    </w:p>
    <w:p>
      <w:pPr>
        <w:pStyle w:val="ListParagraph"/>
        <w:numPr>
          <w:ilvl w:val="0"/>
          <w:numId w:val="2"/>
        </w:numPr>
        <w:spacing w:after="80"/>
      </w:pPr>
      <w:r>
        <w:rPr>
          <w:rFonts w:ascii="Arial" w:cs="Arial" w:eastAsia="Arial" w:hAnsi="Arial"/>
          <w:sz w:val="20"/>
          <w:szCs w:val="20"/>
        </w:rPr>
        <w:t xml:space="preserve">Goldman Sachs 2026 상반기 전망: LME 알루미늄 톤당 $3,150 (2025.12 대비 상향)</w:t>
      </w:r>
    </w:p>
    <w:p>
      <w:pPr>
        <w:pStyle w:val="ListParagraph"/>
        <w:numPr>
          <w:ilvl w:val="0"/>
          <w:numId w:val="2"/>
        </w:numPr>
        <w:spacing w:after="80"/>
      </w:pPr>
      <w:r>
        <w:rPr>
          <w:rFonts w:ascii="Arial" w:cs="Arial" w:eastAsia="Arial" w:hAnsi="Arial"/>
          <w:sz w:val="20"/>
          <w:szCs w:val="20"/>
        </w:rPr>
        <w:t xml:space="preserve">Benchmark Mineral Intelligence: 2026년 평균 $3,100/톤으로 상향 (공급 squeeze 심화 전망)</w:t>
      </w:r>
    </w:p>
    <w:p>
      <w:pPr>
        <w:pStyle w:val="ListParagraph"/>
        <w:numPr>
          <w:ilvl w:val="0"/>
          <w:numId w:val="2"/>
        </w:numPr>
        <w:spacing w:after="80"/>
      </w:pPr>
      <w:r>
        <w:rPr>
          <w:rFonts w:ascii="Arial" w:cs="Arial" w:eastAsia="Arial" w:hAnsi="Arial"/>
          <w:sz w:val="20"/>
          <w:szCs w:val="20"/>
        </w:rPr>
        <w:t xml:space="preserve">LME 창고 재고 418,675톤 (2025.7 이후 최저) - 현물 시장 긴축 지속</w:t>
      </w:r>
    </w:p>
    <w:p>
      <w:pPr>
        <w:pStyle w:val="ListParagraph"/>
        <w:numPr>
          <w:ilvl w:val="0"/>
          <w:numId w:val="2"/>
        </w:numPr>
        <w:spacing w:after="80"/>
      </w:pPr>
      <w:r>
        <w:rPr>
          <w:rFonts w:ascii="Arial" w:cs="Arial" w:eastAsia="Arial" w:hAnsi="Arial"/>
          <w:sz w:val="20"/>
          <w:szCs w:val="20"/>
        </w:rPr>
        <w:t xml:space="preserve">기니 보크사이트 수출 쿼터 검토 - 원료 공급 제한 가능성</w:t>
      </w:r>
    </w:p>
    <w:p>
      <w:pPr>
        <w:pStyle w:val="ListParagraph"/>
        <w:numPr>
          <w:ilvl w:val="0"/>
          <w:numId w:val="2"/>
        </w:numPr>
        <w:spacing w:after="80"/>
      </w:pPr>
      <w:r>
        <w:rPr>
          <w:rFonts w:ascii="Arial" w:cs="Arial" w:eastAsia="Arial" w:hAnsi="Arial"/>
          <w:sz w:val="20"/>
          <w:szCs w:val="20"/>
        </w:rPr>
        <w:t xml:space="preserve">SMM 전망: 상반기 고점 후 하반기 $2,700~$2,800 수렴 가능성 ("선고후저" 패턴)</w:t>
      </w:r>
    </w:p>
    <w:p>
      <w:pPr>
        <w:pStyle w:val="Heading2"/>
        <w:spacing w:after="120" w:before="200"/>
      </w:pPr>
      <w:r>
        <w:rPr>
          <w:rFonts w:ascii="Arial" w:cs="Arial" w:eastAsia="Arial" w:hAnsi="Arial"/>
        </w:rPr>
        <w:t xml:space="preserve">4.2 주요 불확실 요소</w:t>
      </w:r>
    </w:p>
    <w:p>
      <w:pPr>
        <w:pStyle w:val="ListParagraph"/>
        <w:numPr>
          <w:ilvl w:val="0"/>
          <w:numId w:val="3"/>
        </w:numPr>
        <w:spacing w:after="80"/>
      </w:pPr>
      <w:r>
        <w:rPr>
          <w:rFonts w:ascii="Arial" w:cs="Arial" w:eastAsia="Arial" w:hAnsi="Arial"/>
          <w:sz w:val="20"/>
          <w:szCs w:val="20"/>
        </w:rPr>
        <w:t xml:space="preserve">중국 생산 용량 상한 도달 시점 및 정책 변화 (상한 확대 여부)</w:t>
      </w:r>
    </w:p>
    <w:p>
      <w:pPr>
        <w:pStyle w:val="ListParagraph"/>
        <w:numPr>
          <w:ilvl w:val="0"/>
          <w:numId w:val="3"/>
        </w:numPr>
        <w:spacing w:after="80"/>
      </w:pPr>
      <w:r>
        <w:rPr>
          <w:rFonts w:ascii="Arial" w:cs="Arial" w:eastAsia="Arial" w:hAnsi="Arial"/>
          <w:sz w:val="20"/>
          <w:szCs w:val="20"/>
        </w:rPr>
        <w:t xml:space="preserve">중동 지정학 리스크 (걸프 지역 제련소 가동률)</w:t>
      </w:r>
    </w:p>
    <w:p>
      <w:pPr>
        <w:pStyle w:val="ListParagraph"/>
        <w:numPr>
          <w:ilvl w:val="0"/>
          <w:numId w:val="3"/>
        </w:numPr>
        <w:spacing w:after="80"/>
      </w:pPr>
      <w:r>
        <w:rPr>
          <w:rFonts w:ascii="Arial" w:cs="Arial" w:eastAsia="Arial" w:hAnsi="Arial"/>
          <w:sz w:val="20"/>
          <w:szCs w:val="20"/>
        </w:rPr>
        <w:t xml:space="preserve">글로벌 경기 침체 시 EV/전력망 수요 둔화 가능성</w:t>
      </w:r>
    </w:p>
    <w:p>
      <w:pPr>
        <w:pStyle w:val="ListParagraph"/>
        <w:numPr>
          <w:ilvl w:val="0"/>
          <w:numId w:val="3"/>
        </w:numPr>
        <w:spacing w:after="80"/>
      </w:pPr>
      <w:r>
        <w:rPr>
          <w:rFonts w:ascii="Arial" w:cs="Arial" w:eastAsia="Arial" w:hAnsi="Arial"/>
          <w:sz w:val="20"/>
          <w:szCs w:val="20"/>
        </w:rPr>
        <w:t xml:space="preserve">VND/USD 환율 변동 - 현지 조달 단가에 직접 영향</w:t>
      </w:r>
    </w:p>
    <w:p>
      <w:pPr>
        <w:pStyle w:val="ListParagraph"/>
        <w:numPr>
          <w:ilvl w:val="0"/>
          <w:numId w:val="3"/>
        </w:numPr>
        <w:spacing w:after="80"/>
      </w:pPr>
      <w:r>
        <w:rPr>
          <w:rFonts w:ascii="Arial" w:cs="Arial" w:eastAsia="Arial" w:hAnsi="Arial"/>
          <w:sz w:val="20"/>
          <w:szCs w:val="20"/>
        </w:rPr>
        <w:t xml:space="preserve">REGAL 등 고가 업체의 시장 지배력 확대 가능성 (Jan-26 ADC12 $3.64/KG, CHIEN THANG 대비 +21%)</w:t>
      </w:r>
    </w:p>
    <w:p>
      <w:pPr>
        <w:pStyle w:val="Heading1"/>
        <w:spacing w:after="120" w:before="200"/>
      </w:pPr>
      <w:r>
        <w:rPr>
          <w:rFonts w:ascii="Arial" w:cs="Arial" w:eastAsia="Arial" w:hAnsi="Arial"/>
        </w:rPr>
        <w:t xml:space="preserve">5. 구매 전략 제언</w:t>
      </w:r>
    </w:p>
    <w:p>
      <w:pPr>
        <w:pStyle w:val="Heading2"/>
        <w:spacing w:after="120" w:before="200"/>
      </w:pPr>
      <w:r>
        <w:rPr>
          <w:rFonts w:ascii="Arial" w:cs="Arial" w:eastAsia="Arial" w:hAnsi="Arial"/>
        </w:rPr>
        <w:t xml:space="preserve">5.1 장기계약 전환 (Lock-in)</w:t>
      </w:r>
    </w:p>
    <w:p>
      <w:pPr>
        <w:spacing w:after="120" w:line="276"/>
      </w:pPr>
      <w:r>
        <w:rPr>
          <w:rFonts w:ascii="Arial" w:cs="Arial" w:eastAsia="Arial" w:hAnsi="Arial"/>
          <w:sz w:val="20"/>
          <w:szCs w:val="20"/>
        </w:rPr>
        <w:t xml:space="preserve">현재 상승 추세가 최소 2026년 상반기까지 지속될 것으로 전망되므로, CHIEN THANG 등 주요 공급업체와 6~12개월 단위 장기 고정가 계약을 체결하여 추가 상승 리스크를 헤지할 것을 권고한다. 특히 S3Y, S36은 YoY +10% 이상 상승하고 있어 조기 계약이 유리하다.</w:t>
      </w:r>
    </w:p>
    <w:p>
      <w:pPr>
        <w:pStyle w:val="Heading2"/>
        <w:spacing w:after="120" w:before="200"/>
      </w:pPr>
      <w:r>
        <w:rPr>
          <w:rFonts w:ascii="Arial" w:cs="Arial" w:eastAsia="Arial" w:hAnsi="Arial"/>
        </w:rPr>
        <w:t xml:space="preserve">5.2 대체재 발굴 및 공급선 다변화</w:t>
      </w:r>
    </w:p>
    <w:p>
      <w:pPr>
        <w:spacing w:after="120" w:line="276"/>
      </w:pPr>
      <w:r>
        <w:rPr>
          <w:rFonts w:ascii="Arial" w:cs="Arial" w:eastAsia="Arial" w:hAnsi="Arial"/>
          <w:sz w:val="20"/>
          <w:szCs w:val="20"/>
        </w:rPr>
        <w:t xml:space="preserve">REGAL의 가격이 CHIEN THANG 대비 현저히 높고(ADC12 기준 +21%), 공급 연속성도 불안정하다(누락월 다수). TONKIN이 2026년 1월부터 S36 공급을 시작($3.23/KG, CHIEN THANG 대비 -10.6%)한 점에 주목하여, TONKIN과의 물량 확대 협상 및 신규 업체 발굴을 병행해야 한다. 또한 내부 재생(Recycling) 비율을 현 50~67%에서 추가 확대하여 신재 의존도를 낮추는 전략이 효과적이다.</w:t>
      </w:r>
    </w:p>
    <w:p>
      <w:pPr>
        <w:pStyle w:val="Heading2"/>
        <w:spacing w:after="120" w:before="200"/>
      </w:pPr>
      <w:r>
        <w:rPr>
          <w:rFonts w:ascii="Arial" w:cs="Arial" w:eastAsia="Arial" w:hAnsi="Arial"/>
        </w:rPr>
        <w:t xml:space="preserve">5.3 안전재고 확충</w:t>
      </w:r>
    </w:p>
    <w:p>
      <w:pPr>
        <w:spacing w:after="120" w:line="276"/>
      </w:pPr>
      <w:r>
        <w:rPr>
          <w:rFonts w:ascii="Arial" w:cs="Arial" w:eastAsia="Arial" w:hAnsi="Arial"/>
          <w:sz w:val="20"/>
          <w:szCs w:val="20"/>
        </w:rPr>
        <w:t xml:space="preserve">현재 월간 투입량 기준 ADC12 약 180톤, S36 약 80톤, S3Y 약 30톤 수준이다. 공급 차질 리스크에 대비하여 1.5~2개월분 안전재고를 확보할 것을 권고한다. 특히 2026년 Q2 이후 중국 생산 상한 도달 시 글로벌 공급 긴축이 심화될 수 있으므로, Q1 중 선제적 비축이 바람직하다.</w:t>
      </w:r>
    </w:p>
    <w:p>
      <w:pPr>
        <w:pStyle w:val="Heading2"/>
        <w:spacing w:after="120" w:before="200"/>
      </w:pPr>
      <w:r>
        <w:rPr>
          <w:rFonts w:ascii="Arial" w:cs="Arial" w:eastAsia="Arial" w:hAnsi="Arial"/>
        </w:rPr>
        <w:t xml:space="preserve">5.4 환율 헤징 및 결제 구조 최적화</w:t>
      </w:r>
    </w:p>
    <w:p>
      <w:pPr>
        <w:spacing w:after="120" w:line="276"/>
      </w:pPr>
      <w:r>
        <w:rPr>
          <w:rFonts w:ascii="Arial" w:cs="Arial" w:eastAsia="Arial" w:hAnsi="Arial"/>
          <w:sz w:val="20"/>
          <w:szCs w:val="20"/>
        </w:rPr>
        <w:t xml:space="preserve">USD 결제 비중이 높은 만큼, VND/USD 환율 변동에 따른 실질 조달비용 변동을 관리해야 한다. 선물환 계약 또는 통화 옵션을 활용한 환율 헤징을 검토하고, 가능한 경우 VND 결제 비율을 확대하여 환율 리스크를 축소하는 것이 유리하다.</w:t>
      </w:r>
    </w:p>
    <w:p>
      <w:pPr>
        <w:pStyle w:val="Heading2"/>
        <w:spacing w:after="120" w:before="200"/>
      </w:pPr>
      <w:r>
        <w:rPr>
          <w:rFonts w:ascii="Arial" w:cs="Arial" w:eastAsia="Arial" w:hAnsi="Arial"/>
        </w:rPr>
        <w:t xml:space="preserve">5.5 가격 연동 조항 도입</w:t>
      </w:r>
    </w:p>
    <w:p>
      <w:pPr>
        <w:spacing w:after="120" w:line="276"/>
      </w:pPr>
      <w:r>
        <w:rPr>
          <w:rFonts w:ascii="Arial" w:cs="Arial" w:eastAsia="Arial" w:hAnsi="Arial"/>
          <w:sz w:val="20"/>
          <w:szCs w:val="20"/>
        </w:rPr>
        <w:t xml:space="preserve">장기계약 시 LME 알루미늄 지수 또는 SHFE 선물가에 연동되는 가격 조정 조항(Price Adjustment Clause)을 계약에 포함하여, 급등 시 상한(Cap)과 급락 시 하한(Floor)을 설정함으로써 양측의 리스크를 분담하는 구조를 추진할 것을 권고한다.</w:t>
      </w:r>
    </w:p>
    <w:p>
      <w:r>
        <w:br w:type="page"/>
      </w:r>
    </w:p>
    <w:p>
      <w:pPr>
        <w:pStyle w:val="Heading1"/>
        <w:spacing w:after="120" w:before="200"/>
      </w:pPr>
      <w:r>
        <w:rPr>
          <w:rFonts w:ascii="Arial" w:cs="Arial" w:eastAsia="Arial" w:hAnsi="Arial"/>
        </w:rPr>
        <w:t xml:space="preserve">부록: 분석 방법론 및 데이터 출처</w:t>
      </w:r>
    </w:p>
    <w:p>
      <w:pPr>
        <w:pStyle w:val="ListParagraph"/>
        <w:numPr>
          <w:ilvl w:val="0"/>
          <w:numId w:val="2"/>
        </w:numPr>
        <w:spacing w:after="80"/>
      </w:pPr>
      <w:r>
        <w:rPr>
          <w:rFonts w:ascii="Arial" w:cs="Arial" w:eastAsia="Arial" w:hAnsi="Arial"/>
          <w:color w:val="555555"/>
          <w:sz w:val="18"/>
          <w:szCs w:val="18"/>
        </w:rPr>
        <w:t xml:space="preserve">데이터 출처: 사내 원자재 단가 관리 엑셀 (2025~2026년 시트)</w:t>
      </w:r>
    </w:p>
    <w:p>
      <w:pPr>
        <w:pStyle w:val="ListParagraph"/>
        <w:numPr>
          <w:ilvl w:val="0"/>
          <w:numId w:val="2"/>
        </w:numPr>
        <w:spacing w:after="80"/>
      </w:pPr>
      <w:r>
        <w:rPr>
          <w:rFonts w:ascii="Arial" w:cs="Arial" w:eastAsia="Arial" w:hAnsi="Arial"/>
          <w:color w:val="555555"/>
          <w:sz w:val="18"/>
          <w:szCs w:val="18"/>
        </w:rPr>
        <w:t xml:space="preserve">기준 업체: CHIEN THANG (데이터 연속성 최우수, 전 기간 가격 존재)</w:t>
      </w:r>
    </w:p>
    <w:p>
      <w:pPr>
        <w:pStyle w:val="ListParagraph"/>
        <w:numPr>
          <w:ilvl w:val="0"/>
          <w:numId w:val="2"/>
        </w:numPr>
        <w:spacing w:after="80"/>
      </w:pPr>
      <w:r>
        <w:rPr>
          <w:rFonts w:ascii="Arial" w:cs="Arial" w:eastAsia="Arial" w:hAnsi="Arial"/>
          <w:color w:val="555555"/>
          <w:sz w:val="18"/>
          <w:szCs w:val="18"/>
        </w:rPr>
        <w:t xml:space="preserve">누락값 처리: 분석에서 제외 (선형 보간 미적용). NEW ERA(전 기간 미공급), TONKIN(S36 Jan-26만 공급)은 보조 참고</w:t>
      </w:r>
    </w:p>
    <w:p>
      <w:pPr>
        <w:pStyle w:val="ListParagraph"/>
        <w:numPr>
          <w:ilvl w:val="0"/>
          <w:numId w:val="2"/>
        </w:numPr>
        <w:spacing w:after="80"/>
      </w:pPr>
      <w:r>
        <w:rPr>
          <w:rFonts w:ascii="Arial" w:cs="Arial" w:eastAsia="Arial" w:hAnsi="Arial"/>
          <w:color w:val="555555"/>
          <w:sz w:val="18"/>
          <w:szCs w:val="18"/>
        </w:rPr>
        <w:t xml:space="preserve">이상값: REGAL ADC12 Jun-25 $3.21/KG (+20.2% MoM) - 계약 조건 변경으로 인한 가격 점프로 판단, 분석에 포함</w:t>
      </w:r>
    </w:p>
    <w:p>
      <w:pPr>
        <w:pStyle w:val="ListParagraph"/>
        <w:numPr>
          <w:ilvl w:val="0"/>
          <w:numId w:val="2"/>
        </w:numPr>
        <w:spacing w:after="80"/>
      </w:pPr>
      <w:r>
        <w:rPr>
          <w:rFonts w:ascii="Arial" w:cs="Arial" w:eastAsia="Arial" w:hAnsi="Arial"/>
          <w:color w:val="555555"/>
          <w:sz w:val="18"/>
          <w:szCs w:val="18"/>
        </w:rPr>
        <w:t xml:space="preserve">시장 데이터: Trading Economics, Goldman Sachs, Benchmark Mineral Intelligence, SMM 보고서 참조</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4" w:space="4"/>
      </w:pBdr>
      <w:jc w:val="right"/>
    </w:pPr>
    <w:r>
      <w:rPr>
        <w:rFonts w:ascii="Arial" w:cs="Arial" w:eastAsia="Arial" w:hAnsi="Arial"/>
        <w:i/>
        <w:iCs/>
        <w:color w:val="888888"/>
        <w:sz w:val="16"/>
        <w:szCs w:val="16"/>
      </w:rPr>
      <w:t xml:space="preserve">원자재 단가 변화 추이 분석 보고서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2E4057"/>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4057"/>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A6FA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2026-04-03T08:05:48.259Z</dcterms:created>
  <dcterms:modified xsi:type="dcterms:W3CDTF">2026-04-03T08:05:48.260Z</dcterms:modified>
</cp:coreProperties>
</file>

<file path=docProps/custom.xml><?xml version="1.0" encoding="utf-8"?>
<Properties xmlns="http://schemas.openxmlformats.org/officeDocument/2006/custom-properties" xmlns:vt="http://schemas.openxmlformats.org/officeDocument/2006/docPropsVTypes"/>
</file>