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서부산-사상스마트시티-복합비즈니스센터-투자-타당성-평가-보고서-v31"/>
    <w:p>
      <w:pPr>
        <w:pStyle w:val="Heading1"/>
      </w:pPr>
      <w:r>
        <w:rPr>
          <w:rFonts w:ascii="Malgun Gothic" w:hAnsi="Malgun Gothic" w:eastAsia="Malgun Gothic" w:cs="Malgun Gothic"/>
        </w:rPr>
        <w:t xml:space="preserve">서부산 사상스마트시티 복합비즈니스센터 투자 타당성 평가 보고서 (v3.1)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2026-05-13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버전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v3.1 (Codex 1·2·3차 리뷰 NEEDS-FIX 누적 16건 + Minor 3건 반영)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분석 대상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부산광역시 사상구 학장동 230-1 사상비즈니스센터 신축사업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시행사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(주)서부산종합개발 (SPC, 2020.12 설립)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분석 근거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① 하나감정평가서(2025.12.11) ② 사업수지분석 최종본(2025.01.23) ③ 마케팅 IR자료 ④ Gemini 시장 리서치 4건(2026.05)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분석 방법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5인 가상팀 — 문서정리·재무·입지·리스크·통합리드 분업 후 교차검증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결론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조건부 보류 (Conditional Hold) — 6개 핵심 가정 재산정 후 재검토</w:t>
            </w:r>
          </w:p>
        </w:tc>
      </w:tr>
    </w:tbl>
    <w:p>
      <w:pPr>
        <w:pStyle w:val="BlockText"/>
      </w:pPr>
      <w:r>
        <w:rPr>
          <w:rFonts w:ascii="Malgun Gothic" w:hAnsi="Malgun Gothic" w:eastAsia="Malgun Gothic" w:cs="Malgun Gothic"/>
          <w:b/>
          <w:bCs/>
        </w:rPr>
        <w:t xml:space="preserve">이익률 분모 고정 원칙</w:t>
      </w:r>
      <w:r>
        <w:rPr>
          <w:rFonts w:ascii="Malgun Gothic" w:hAnsi="Malgun Gothic" w:eastAsia="Malgun Gothic" w:cs="Malgun Gothic"/>
        </w:rPr>
        <w:t xml:space="preserve">: 본 보고서의 모든 시나리오 이익률은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rStyle w:val="VerbatimChar"/>
        </w:rPr>
        <w:t xml:space="preserve">사업수지 ÷ </w:t>
      </w:r>
      <w:r>
        <w:rPr>
          <w:rStyle w:val="VerbatimChar"/>
          <w:rFonts w:hint="eastAsia" w:ascii="Malgun Gothic" w:hAnsi="Malgun Gothic" w:eastAsia="Malgun Gothic" w:cs="Malgun Gothic"/>
        </w:rPr>
        <w:t xml:space="preserve">원(原)</w:t>
      </w:r>
      <w:r>
        <w:rPr>
          <w:rFonts w:ascii="Malgun Gothic" w:hAnsi="Malgun Gothic" w:eastAsia="Malgun Gothic" w:cs="Malgun Gothic"/>
          <w:rStyle w:val="VerbatimChar"/>
        </w:rPr>
        <w:t xml:space="preserve"> 분양수입 3,240.89억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으로 통일한다. 분양가/세대수 조정 시 분자만 변동시키고 분모는 고정한다.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9" w:name="X0347a3a23bed04bf0fabd601fcd7049398d3cb2"/>
    <w:p>
      <w:pPr>
        <w:pStyle w:val="Heading2"/>
      </w:pPr>
      <w:r>
        <w:rPr>
          <w:rFonts w:ascii="Malgun Gothic" w:hAnsi="Malgun Gothic" w:eastAsia="Malgun Gothic" w:cs="Malgun Gothic"/>
        </w:rPr>
        <w:t xml:space="preserve">1. Executive Summary (10줄)</w:t>
      </w:r>
    </w:p>
    <w:p>
      <w:pPr>
        <w:pStyle w:val="Compact"/>
        <w:numPr>
          <w:ilvl w:val="0"/>
          <w:numId w:val="1001"/>
        </w:numPr>
      </w:pPr>
      <w:r>
        <w:rPr>
          <w:rFonts w:ascii="Malgun Gothic" w:hAnsi="Malgun Gothic" w:eastAsia="Malgun Gothic" w:cs="Malgun Gothic"/>
        </w:rPr>
        <w:t xml:space="preserve">사업지는 부산 사상재생사업지구 활성화구역 내 유일한 일반상업지역, 용적률 1,143% 적용으로 입지 희소성 자체는 강력하다.</w:t>
      </w:r>
    </w:p>
    <w:p>
      <w:pPr>
        <w:pStyle w:val="Compact"/>
        <w:numPr>
          <w:ilvl w:val="0"/>
          <w:numId w:val="1001"/>
        </w:numPr>
      </w:pPr>
      <w:r>
        <w:rPr>
          <w:rFonts w:ascii="Malgun Gothic" w:hAnsi="Malgun Gothic" w:eastAsia="Malgun Gothic" w:cs="Malgun Gothic"/>
        </w:rPr>
        <w:t xml:space="preserve">토지·건축인허가는 2023.04 완료되어 인허가 리스크는 사실상 해소된 상태이고 SPC 구조도 정비되어 있다.</w:t>
      </w:r>
    </w:p>
    <w:p>
      <w:pPr>
        <w:pStyle w:val="Compact"/>
        <w:numPr>
          <w:ilvl w:val="0"/>
          <w:numId w:val="1001"/>
        </w:numPr>
      </w:pPr>
      <w:r>
        <w:rPr>
          <w:rFonts w:ascii="Malgun Gothic" w:hAnsi="Malgun Gothic" w:eastAsia="Malgun Gothic" w:cs="Malgun Gothic"/>
        </w:rPr>
        <w:t xml:space="preserve">사업수지분석상 분양수입 3,240.89억 대비 투입비 2,532.87억으로 사업이익 **708억(이익률 21.85%)**을 제시하나 이는 다수의 낙관적 가정에 기반한다.</w:t>
      </w:r>
    </w:p>
    <w:p>
      <w:pPr>
        <w:pStyle w:val="Compact"/>
        <w:numPr>
          <w:ilvl w:val="0"/>
          <w:numId w:val="1001"/>
        </w:numPr>
      </w:pPr>
      <w:r>
        <w:rPr>
          <w:rFonts w:ascii="Malgun Gothic" w:hAnsi="Malgun Gothic" w:eastAsia="Malgun Gothic" w:cs="Malgun Gothic"/>
        </w:rPr>
        <w:t xml:space="preserve">PF 자금조달 가정(Tr.A-1 HUG 융자 650억 @ 2.2%, Tr.A-2 HUG 보증 1,010억 @ 5.0%)은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HUG 주거비중 70% 요건 대비 본 사업 오피스텔 연면적 비중이 약 43.87%로 산정되어 적격성 미확정·고위험</w:t>
      </w:r>
      <w:r>
        <w:rPr>
          <w:rFonts w:ascii="Malgun Gothic" w:hAnsi="Malgun Gothic" w:eastAsia="Malgun Gothic" w:cs="Malgun Gothic"/>
        </w:rPr>
        <w:t xml:space="preserve">, 시장 실세 금리(가중평균 6.5~8.0%)로 재산정 시 **이자 추가 +120~220억**.</w:t>
      </w:r>
    </w:p>
    <w:p>
      <w:pPr>
        <w:pStyle w:val="Compact"/>
        <w:numPr>
          <w:ilvl w:val="0"/>
          <w:numId w:val="1001"/>
        </w:numPr>
      </w:pPr>
      <w:r>
        <w:rPr>
          <w:rFonts w:ascii="Malgun Gothic" w:hAnsi="Malgun Gothic" w:eastAsia="Malgun Gothic" w:cs="Malgun Gothic"/>
        </w:rPr>
        <w:t xml:space="preserve">직접공사비 단가 6,500천원/평은 2025-2026 부산 비주거 복합건축 평균 7,500~8,500천원/평 대비 15~25% 저평가, 공사비 적용면적 22,577평 기준 시공비 추가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+226~452억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Fonts w:ascii="Malgun Gothic" w:hAnsi="Malgun Gothic" w:eastAsia="Malgun Gothic" w:cs="Malgun Gothic"/>
        </w:rPr>
        <w:t xml:space="preserve">가장 큰 호재인 사상-하단선(사상스마트시티역)의 공식 사업일정은 시점에 따라 표기가 상충(원안 2026.12 완공 → Gemini 리서치 기준 사업기간 1년 연장 / 2027년 말 완공 / 2028 상반기 개통 추정)되므로, 본 보고서는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분양 마케팅 일정은 보수적으로 2028 상반기 개통을 가정</w:t>
      </w:r>
      <w:r>
        <w:rPr>
          <w:rFonts w:ascii="Malgun Gothic" w:hAnsi="Malgun Gothic" w:eastAsia="Malgun Gothic" w:cs="Malgun Gothic"/>
        </w:rPr>
        <w:t xml:space="preserve">한다 (공식 일정 재확인 필요, §10 NEED RESEARCH 참조).</w:t>
      </w:r>
    </w:p>
    <w:p>
      <w:pPr>
        <w:pStyle w:val="Compact"/>
        <w:numPr>
          <w:ilvl w:val="0"/>
          <w:numId w:val="1001"/>
        </w:numPr>
      </w:pPr>
      <w:r>
        <w:rPr>
          <w:rFonts w:ascii="Malgun Gothic" w:hAnsi="Malgun Gothic" w:eastAsia="Malgun Gothic" w:cs="Malgun Gothic"/>
        </w:rPr>
        <w:t xml:space="preserve">부산 비주거 상품별 미분양 데이터로는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사상구 오피스텔 분양률 75.5%(2025.05) / 지식산업센터 평균 분양률 34% / 사상구 상가 공실률 10.2%(2025 4Q)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오피스텔은 가능하나 업무시설 분양은 매우 험난.</w:t>
      </w:r>
    </w:p>
    <w:p>
      <w:pPr>
        <w:pStyle w:val="Compact"/>
        <w:numPr>
          <w:ilvl w:val="0"/>
          <w:numId w:val="1001"/>
        </w:numPr>
      </w:pPr>
      <w:r>
        <w:rPr>
          <w:rFonts w:ascii="Malgun Gothic" w:hAnsi="Malgun Gothic" w:eastAsia="Malgun Gothic" w:cs="Malgun Gothic"/>
        </w:rPr>
        <w:t xml:space="preserve">토지 등기부상 소유자는 여전히 부산도시공사이며 잔금 94.4억 + 정산금 171.2억 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265.5억이 미납 상태</w:t>
      </w:r>
      <w:r>
        <w:rPr>
          <w:rFonts w:ascii="Malgun Gothic" w:hAnsi="Malgun Gothic" w:eastAsia="Malgun Gothic" w:cs="Malgun Gothic"/>
        </w:rPr>
        <w:t xml:space="preserve">, 준공 전 분양수입 의존도가 매우 높다.</w:t>
      </w:r>
    </w:p>
    <w:p>
      <w:pPr>
        <w:pStyle w:val="Compact"/>
        <w:numPr>
          <w:ilvl w:val="0"/>
          <w:numId w:val="1001"/>
        </w:numPr>
      </w:pPr>
      <w:r>
        <w:rPr>
          <w:rFonts w:ascii="Malgun Gothic" w:hAnsi="Malgun Gothic" w:eastAsia="Malgun Gothic" w:cs="Malgun Gothic"/>
        </w:rPr>
        <w:t xml:space="preserve">감정평가액 498.2억 vs 토지 분양원가 265.5억 = 232.7억 미실현이익 존재, 담보가치 확대 여력은 분명히 있으나 단순 이자커버리지·LTV 재계산이 선결 과제이다.</w:t>
      </w:r>
    </w:p>
    <w:p>
      <w:pPr>
        <w:pStyle w:val="Compact"/>
        <w:numPr>
          <w:ilvl w:val="0"/>
          <w:numId w:val="1001"/>
        </w:numPr>
      </w:pPr>
      <w:r>
        <w:rPr>
          <w:rFonts w:ascii="Malgun Gothic" w:hAnsi="Malgun Gothic" w:eastAsia="Malgun Gothic" w:cs="Malgun Gothic"/>
          <w:b/>
          <w:bCs/>
        </w:rPr>
        <w:t xml:space="preserve">종합 권고: 조건부 보류</w:t>
      </w:r>
      <w:r>
        <w:rPr>
          <w:rFonts w:ascii="Malgun Gothic" w:hAnsi="Malgun Gothic" w:eastAsia="Malgun Gothic" w:cs="Malgun Gothic"/>
        </w:rPr>
        <w:t xml:space="preserve">, 단 ① PF 구조 재설계(건설공제조합 비주택 PF + HUG 분양보증 패키지) ② 공사비 시장가 GMP 계약 ③ 분양 일정 1년 후행 시나리오 ④ 잔금/정산금 자금조달 명시 ⑤ 분양가 ±10% 감내 가능 자본구조 ⑥ 기업지원복합센터 분양·임대 가정 확정 — 6개 조건 충족 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선별적 권고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가능.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4" w:name="Xdeed92977f9d199d0485753d19d333c5987d6b8"/>
    <w:p>
      <w:pPr>
        <w:pStyle w:val="Heading2"/>
      </w:pPr>
      <w:r>
        <w:rPr>
          <w:rFonts w:ascii="Malgun Gothic" w:hAnsi="Malgun Gothic" w:eastAsia="Malgun Gothic" w:cs="Malgun Gothic"/>
        </w:rPr>
        <w:t xml:space="preserve">2. 사업 개요 (문서정리 조교 결과)</w:t>
      </w:r>
    </w:p>
    <w:bookmarkStart w:id="10" w:name="X7963a3e28d422d11f3e0fca1627272338709192"/>
    <w:p>
      <w:pPr>
        <w:pStyle w:val="Heading3"/>
      </w:pPr>
      <w:r>
        <w:rPr>
          <w:rFonts w:ascii="Malgun Gothic" w:hAnsi="Malgun Gothic" w:eastAsia="Malgun Gothic" w:cs="Malgun Gothic"/>
        </w:rPr>
        <w:t xml:space="preserve">2.1 핵심 제원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대지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부산광역시 사상구 학장동 230-1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용도지역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일반상업지역 (사상재생사업지구 활성화구역 D-13-03)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대지면적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4,700.00㎡ (1,421.75평)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건축면적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3,048.87㎡ (922.28평), 건폐율 64.87%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연면적 (건축물 기준)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72,910.84㎡ ≈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bCs/>
              </w:rPr>
              <w:t xml:space="preserve">22,055평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(1평=3.3058㎡ 환산), 용적률 1,143.02%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계약면적 합계 (분양 4개 용도 합)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72,910.85㎡ (마케팅 IR 면적표 합산, 건축 연면적과 일치) — 마케팅 IR 표기 "22,910.84평"은 원본 PDF의 평/㎡ 환산 오기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공사비 적용면적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22,577평 (≈ 74,635㎡)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— 수지분석에서 사용하는 별도 기준치로, 건축 연면적(72,910.84㎡)과 ㎡ 기준에서도 차이가 있다. 수지분석상 직접공사비 단가(6,500천원/평) × 22,577평 = 1,467.51억으로 책정. 정확한 산정근거(공용부 가산·코어 포함 여부 등)는 시공 견적서 수령 후 검증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규모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지하5층 / 지상24층, 109.05m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주차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622대 (법정 117.14%)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건축허가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2023.04 완료</w:t>
            </w:r>
          </w:p>
        </w:tc>
      </w:tr>
    </w:tbl>
    <w:bookmarkEnd w:id="10"/>
    <w:bookmarkStart w:id="11" w:name="X1885da2a97e861db5d7ad3ecf3e2d78c1641294"/>
    <w:p>
      <w:pPr>
        <w:pStyle w:val="Heading3"/>
      </w:pPr>
      <w:r>
        <w:rPr>
          <w:rFonts w:ascii="Malgun Gothic" w:hAnsi="Malgun Gothic" w:eastAsia="Malgun Gothic" w:cs="Malgun Gothic"/>
        </w:rPr>
        <w:t xml:space="preserve">2.2 분양 구성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자료 간 차이 (잠정치)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용도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수지분석(2025.01.23)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마케팅 IR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차이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업무시설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252호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305호 (또는 320호)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53~68호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미확정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오피스텔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378호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396호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18호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미확정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근린생활시설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4개소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4개소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판매시설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2개소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2개소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일치</w:t>
            </w:r>
          </w:p>
        </w:tc>
      </w:tr>
    </w:tbl>
    <w:p>
      <w:pPr>
        <w:pStyle w:val="BlockText"/>
      </w:pPr>
      <w:r>
        <w:rPr>
          <w:rFonts w:ascii="Malgun Gothic" w:hAnsi="Malgun Gothic" w:eastAsia="Malgun Gothic" w:cs="Malgun Gothic"/>
          <w:b/>
          <w:bCs/>
        </w:rPr>
        <w:t xml:space="preserve">문서정리 조교 코멘트</w:t>
      </w:r>
      <w:r>
        <w:rPr>
          <w:rFonts w:ascii="Malgun Gothic" w:hAnsi="Malgun Gothic" w:eastAsia="Malgun Gothic" w:cs="Malgun Gothic"/>
        </w:rPr>
        <w:t xml:space="preserve">: 분양카탈로그 확정본 미수령 상태로 본 보고서의 모든 매출/면적 수치는 수지분석 기준(252+378)을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잠정치(provisional)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로 사용한다. 차이가 분양매출에 미치는 영향은 §5.1 R7로 격상하여 별도 관리한다.</w:t>
      </w:r>
    </w:p>
    <w:bookmarkEnd w:id="11"/>
    <w:bookmarkStart w:id="12" w:name="Xffeec3a84688ac9d36c41bff37688ac33efae71"/>
    <w:p>
      <w:pPr>
        <w:pStyle w:val="Heading3"/>
      </w:pPr>
      <w:r>
        <w:rPr>
          <w:rFonts w:ascii="Malgun Gothic" w:hAnsi="Malgun Gothic" w:eastAsia="Malgun Gothic" w:cs="Malgun Gothic"/>
        </w:rPr>
        <w:t xml:space="preserve">2.3 비용 구조 (수지분석 최종본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구분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금액(억)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비율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단가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분양수입(A)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3,240.89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14,180천원/평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토지비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399.96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15.8%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24,969천원/평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직접공사비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1,467.51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57.9%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6,500천원/평 (×22,577평)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부대비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543.48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21.5%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금융비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121.92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4.8%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PF 합산 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투입비(B)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2,532.87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사업수지(A−B)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708.02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21.85%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(분모: A)</w:t>
            </w:r>
          </w:p>
        </w:tc>
      </w:tr>
    </w:tbl>
    <w:bookmarkEnd w:id="12"/>
    <w:bookmarkStart w:id="13" w:name="X394d04245773e057d6ad792f5fdea4ad95a7723"/>
    <w:p>
      <w:pPr>
        <w:pStyle w:val="Heading3"/>
      </w:pPr>
      <w:r>
        <w:rPr>
          <w:rFonts w:ascii="Malgun Gothic" w:hAnsi="Malgun Gothic" w:eastAsia="Malgun Gothic" w:cs="Malgun Gothic"/>
        </w:rPr>
        <w:t xml:space="preserve">2.4 자금조달 구조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HUG 적격성 미확정·고위험</w:t>
      </w:r>
    </w:p>
    <w:p>
      <w:pPr>
        <w:pStyle w:val="FirstParagraph"/>
      </w:pPr>
      <w:r>
        <w:rPr>
          <w:rFonts w:ascii="Malgun Gothic" w:hAnsi="Malgun Gothic" w:eastAsia="Malgun Gothic" w:cs="Malgun Gothic"/>
          <w:b/>
          <w:bCs/>
        </w:rPr>
        <w:t xml:space="preserve">HUG 주거비중 산정 (연면적 기준)</w:t>
      </w:r>
      <w:r>
        <w:rPr>
          <w:rFonts w:ascii="Malgun Gothic" w:hAnsi="Malgun Gothic" w:eastAsia="Malgun Gothic" w:cs="Malgun Gothic"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용도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계약면적(㎡)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비중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오피스텔 (준주택)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31,988.28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43.87%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업무시설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27,504.40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37.72%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근린생활시설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10,540.80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14.46%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판매시설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2,877.37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3.95%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72,910.85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100%</w:t>
            </w:r>
          </w:p>
        </w:tc>
      </w:tr>
    </w:tbl>
    <w:p>
      <w:pPr>
        <w:pStyle w:val="BodyText"/>
      </w:pPr>
      <w:r>
        <w:rPr>
          <w:rFonts w:ascii="Malgun Gothic" w:hAnsi="Malgun Gothic" w:eastAsia="Malgun Gothic" w:cs="Malgun Gothic"/>
        </w:rPr>
        <w:t xml:space="preserve">→ HUG 표준PF 주거비중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70% 요건 대비 약 26%p 부족</w:t>
      </w:r>
      <w:r>
        <w:rPr>
          <w:rFonts w:ascii="Malgun Gothic" w:hAnsi="Malgun Gothic" w:eastAsia="Malgun Gothic" w:cs="Malgun Gothic"/>
        </w:rPr>
        <w:t xml:space="preserve">, 단 호수 기준·전용면적 기준에 따라 변동 가능하므로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사전협의 전까지 "적격성 미확정·고위험"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상태로 분류한다.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트랜치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금액(억)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수지분석 금리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시장 보정 금리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자기자본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380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시행 153 + 우선주(KDB인프라 외) 227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Tr.A-1 (HUG 융자)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650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2.2%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적격성 미확정·고위험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주거비중 약 44%, 70% 미달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Tr.A-2 (HUG 보증)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1,010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5.0%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분양보증은 가능, PF보증은 불확실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PF 합계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1,660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가중 약 4.0%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6.5~8.0% (재산정 필요)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총사업비 기준 LTV 65.5%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사업기간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53개월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2025-02 ~ 2029-07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</w:tr>
    </w:tbl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3"/>
    <w:bookmarkEnd w:id="14"/>
    <w:bookmarkStart w:id="21" w:name="Xf5b9775a575755e9382c91dc670f9b687f964c0"/>
    <w:p>
      <w:pPr>
        <w:pStyle w:val="Heading2"/>
      </w:pPr>
      <w:r>
        <w:rPr>
          <w:rFonts w:ascii="Malgun Gothic" w:hAnsi="Malgun Gothic" w:eastAsia="Malgun Gothic" w:cs="Malgun Gothic"/>
        </w:rPr>
        <w:t xml:space="preserve">3. 재무 타당성 분석 (재무 조교 결과)</w:t>
      </w:r>
    </w:p>
    <w:bookmarkStart w:id="15" w:name="X0017fb497599ca0e9ac4972e48a13623b5279cb"/>
    <w:p>
      <w:pPr>
        <w:pStyle w:val="Heading3"/>
      </w:pPr>
      <w:r>
        <w:rPr>
          <w:rFonts w:ascii="Malgun Gothic" w:hAnsi="Malgun Gothic" w:eastAsia="Malgun Gothic" w:cs="Malgun Gothic"/>
        </w:rPr>
        <w:t xml:space="preserve">3.1 PF 추가 이자 산식 (단일 범위)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변수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PF 명목 합계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1,660억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평균 인출률 (사업기간 가중)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65~75%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평균 잔액 (1,660 × 인출률)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1,079~1,245억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가중평균 금리 차이 (시장 6.5~8.0% − 수지 4.0%)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2.5~4.0%p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평균 운용기간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약 4.42년 (53개월)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추가 이자 = 평균잔액 × 금리차 × 기간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약 +120~220억</w:t>
            </w:r>
          </w:p>
        </w:tc>
      </w:tr>
    </w:tbl>
    <w:p>
      <w:pPr>
        <w:pStyle w:val="BlockText"/>
      </w:pPr>
      <w:r>
        <w:rPr>
          <w:rFonts w:ascii="Malgun Gothic" w:hAnsi="Malgun Gothic" w:eastAsia="Malgun Gothic" w:cs="Malgun Gothic"/>
        </w:rPr>
        <w:t xml:space="preserve">보고서 본문 내 모든 "PF 이자 영향" 수치는 위 범위(</w:t>
      </w:r>
      <w:r>
        <w:rPr>
          <w:rFonts w:ascii="Malgun Gothic" w:hAnsi="Malgun Gothic" w:eastAsia="Malgun Gothic" w:cs="Malgun Gothic"/>
          <w:b/>
          <w:bCs/>
        </w:rPr>
        <w:t xml:space="preserve">+120~220억</w:t>
      </w:r>
      <w:r>
        <w:rPr>
          <w:rFonts w:ascii="Malgun Gothic" w:hAnsi="Malgun Gothic" w:eastAsia="Malgun Gothic" w:cs="Malgun Gothic"/>
        </w:rPr>
        <w:t xml:space="preserve">, 중간값 +170억)로 통일한다.</w:t>
      </w:r>
    </w:p>
    <w:bookmarkEnd w:id="15"/>
    <w:bookmarkStart w:id="16" w:name="X5535d43ccd5753c0e4b0a474e8a3651faf12efd"/>
    <w:p>
      <w:pPr>
        <w:pStyle w:val="Heading3"/>
      </w:pPr>
      <w:r>
        <w:rPr>
          <w:rFonts w:ascii="Malgun Gothic" w:hAnsi="Malgun Gothic" w:eastAsia="Malgun Gothic" w:cs="Malgun Gothic"/>
        </w:rPr>
        <w:t xml:space="preserve">3.2 공사비 추가액 산식 (단일 범위)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변수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가정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적용 면적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공사비 적용면적 22,577평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(수지분석 동일)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단가 차이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시장 7,500~8,500 − 수지 6,500 = **1,000~2,000천원/평**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추가 시공비 = 22,577 × 단가차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약 +226~452억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(중간값 +339억)</w:t>
            </w:r>
          </w:p>
        </w:tc>
      </w:tr>
    </w:tbl>
    <w:bookmarkEnd w:id="16"/>
    <w:bookmarkStart w:id="17" w:name="X0fe03c7eb6742e81c08dba0790a61d5d510b469"/>
    <w:p>
      <w:pPr>
        <w:pStyle w:val="Heading3"/>
      </w:pPr>
      <w:r>
        <w:rPr>
          <w:rFonts w:ascii="Malgun Gothic" w:hAnsi="Malgun Gothic" w:eastAsia="Malgun Gothic" w:cs="Malgun Gothic"/>
        </w:rPr>
        <w:t xml:space="preserve">3.3 시나리오별 사업수지 (분모: 원 분양수입 3,240.89억)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분양수입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투입비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수지(억)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이익률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Base (수지분석)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3,240.89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2,532.87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+708.02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21.85%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시장 보정 Base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(PF +170, 공사비 +339)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3,240.89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3,041.87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+199.02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6.14%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분양가 −10%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(시장 보정)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2,916.80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3,041.87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−125.07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△3.86% (적자)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공사비 추가 +10%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(수지분석 공사비 1,467.51 × 0.1 = +147 추가)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3,240.89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3,188.62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+52.27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1.61%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금리 +2%p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(PF 추가이자 +90억 가산)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3,240.89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3,131.87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+109.02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3.36%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분양 지연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(Exit 시점까지 50% 잔여 → 사업기간 6개월 연장 → PF 이자 +40억) ※ 분양수입 자체는 100% 인식 가정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3,240.89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3,081.87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+159.02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4.91%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실분양율 50% (보수)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Exit 잔여 50%를 30% 할인 매각 가정 → 수입 △486.13억(=3,240.89×0.5×0.3) + PF 추가이자 +60억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2,754.76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3,101.87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−347.11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△10.71% (</w:t>
            </w:r>
            <w:r>
              <w:rPr>
                <w:rFonts w:ascii="Malgun Gothic" w:hAnsi="Malgun Gothic" w:eastAsia="Malgun Gothic" w:cs="Malgun Gothic"/>
                <w:b/>
                <w:bCs/>
              </w:rPr>
              <w:t xml:space="preserve">자본잠식 위험</w:t>
            </w:r>
            <w:r>
              <w:rPr>
                <w:rFonts w:ascii="Malgun Gothic" w:hAnsi="Malgun Gothic" w:eastAsia="Malgun Gothic" w:cs="Malgun Gothic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복합 악재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(분양가 −10% + 공사비 +10% + 금리 +2%p)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2,916.80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3,277.62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−360.82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△11.13% (</w:t>
            </w:r>
            <w:r>
              <w:rPr>
                <w:rFonts w:ascii="Malgun Gothic" w:hAnsi="Malgun Gothic" w:eastAsia="Malgun Gothic" w:cs="Malgun Gothic"/>
                <w:b/>
                <w:bCs/>
              </w:rPr>
              <w:t xml:space="preserve">자본잠식 위험</w:t>
            </w:r>
            <w:r>
              <w:rPr>
                <w:rFonts w:ascii="Malgun Gothic" w:hAnsi="Malgun Gothic" w:eastAsia="Malgun Gothic" w:cs="Malgun Gothic"/>
              </w:rPr>
              <w:t xml:space="preserve">)</w:t>
            </w:r>
          </w:p>
        </w:tc>
      </w:tr>
    </w:tbl>
    <w:bookmarkEnd w:id="17"/>
    <w:bookmarkStart w:id="18" w:name="X17ae99c6d7e70ae8f6840bee925f8af158570ec"/>
    <w:p>
      <w:pPr>
        <w:pStyle w:val="Heading3"/>
      </w:pPr>
      <w:r>
        <w:rPr>
          <w:rFonts w:ascii="Malgun Gothic" w:hAnsi="Malgun Gothic" w:eastAsia="Malgun Gothic" w:cs="Malgun Gothic"/>
        </w:rPr>
        <w:t xml:space="preserve">3.4 민감도 분석 (±10% / ±2%p)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변수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−10% / −2%p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Base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+10% / +2%p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−324.09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+324.09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공사비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+146.75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−146.75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금리 (PF 1,660 × 평균잔액 × 기간)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−90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+90</w:t>
            </w:r>
          </w:p>
        </w:tc>
      </w:tr>
    </w:tbl>
    <w:p>
      <w:pPr>
        <w:pStyle w:val="BlockText"/>
      </w:pPr>
      <w:r>
        <w:rPr>
          <w:rFonts w:ascii="Malgun Gothic" w:hAnsi="Malgun Gothic" w:eastAsia="Malgun Gothic" w:cs="Malgun Gothic"/>
          <w:b/>
          <w:bCs/>
        </w:rPr>
        <w:t xml:space="preserve">재무 조교 코멘트</w:t>
      </w:r>
      <w:r>
        <w:rPr>
          <w:rFonts w:ascii="Malgun Gothic" w:hAnsi="Malgun Gothic" w:eastAsia="Malgun Gothic" w:cs="Malgun Gothic"/>
        </w:rPr>
        <w:t xml:space="preserve">: 시장 보정 Base에서 이익률이 22% → 6.14%로 급락하고, 복합 악재 시 자본잠식 위험이 발생한다. 분양가가 가장 큰 swing factor이며 자기자본 380억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500억 이상 증액</w:t>
      </w:r>
      <w:r>
        <w:rPr>
          <w:rFonts w:ascii="Malgun Gothic" w:hAnsi="Malgun Gothic" w:eastAsia="Malgun Gothic" w:cs="Malgun Gothic"/>
        </w:rPr>
        <w:t xml:space="preserve">이 자본잠식 회피의 필요조건이다.</w:t>
      </w:r>
    </w:p>
    <w:bookmarkEnd w:id="18"/>
    <w:bookmarkStart w:id="19" w:name="Xc8f439000687dbd161e7863306a374c7146812a"/>
    <w:p>
      <w:pPr>
        <w:pStyle w:val="Heading3"/>
      </w:pPr>
      <w:r>
        <w:rPr>
          <w:rFonts w:ascii="Malgun Gothic" w:hAnsi="Malgun Gothic" w:eastAsia="Malgun Gothic" w:cs="Malgun Gothic"/>
        </w:rPr>
        <w:t xml:space="preserve">3.5 단순 이자커버리지 점검 (DSCR 명칭 격하)</w:t>
      </w:r>
    </w:p>
    <w:p>
      <w:pPr>
        <w:pStyle w:val="Compact"/>
        <w:numPr>
          <w:ilvl w:val="0"/>
          <w:numId w:val="1002"/>
        </w:numPr>
      </w:pPr>
      <w:r>
        <w:rPr>
          <w:rFonts w:ascii="Malgun Gothic" w:hAnsi="Malgun Gothic" w:eastAsia="Malgun Gothic" w:cs="Malgun Gothic"/>
        </w:rPr>
        <w:t xml:space="preserve">본 보고서는 사업이익을 누적 이자비용으로 나눈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단순 이자커버리지(Simple Interest Coverage Ratio)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만 제시하며, 정식 DSCR(CFADS 기반)은 인출 스케줄·분양대금 회수 시점·원금 상환계획 데이터가 확보되어야 산정 가능하다.</w:t>
      </w:r>
    </w:p>
    <w:p>
      <w:pPr>
        <w:pStyle w:val="Compact"/>
        <w:numPr>
          <w:ilvl w:val="0"/>
          <w:numId w:val="1002"/>
        </w:numPr>
      </w:pPr>
      <w:r>
        <w:rPr>
          <w:rFonts w:ascii="Malgun Gothic" w:hAnsi="Malgun Gothic" w:eastAsia="Malgun Gothic" w:cs="Malgun Gothic"/>
        </w:rPr>
        <w:t xml:space="preserve">시장 보정 Base: 누적 이자비용 약 290~330억(평균잔액 × 시장금리 × 기간), 사업이익 199억 → 단순 이자커버리지 **약 0.60~0.69 (1.0 미만, 이자조차 영업이익으로 못 갚는 구조)**</w:t>
      </w:r>
    </w:p>
    <w:p>
      <w:pPr>
        <w:pStyle w:val="Compact"/>
        <w:numPr>
          <w:ilvl w:val="0"/>
          <w:numId w:val="1002"/>
        </w:numPr>
      </w:pPr>
      <w:r>
        <w:rPr>
          <w:rFonts w:ascii="Malgun Gothic" w:hAnsi="Malgun Gothic" w:eastAsia="Malgun Gothic" w:cs="Malgun Gothic"/>
        </w:rPr>
        <w:t xml:space="preserve">정식 DSCR 산정을 위해 시행사로부터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PF 인출 스케줄, 분양대금 에스크로 규칙, 원금 상환계획</w:t>
      </w:r>
      <w:r>
        <w:rPr>
          <w:rFonts w:ascii="Malgun Gothic" w:hAnsi="Malgun Gothic" w:eastAsia="Malgun Gothic" w:cs="Malgun Gothic"/>
        </w:rPr>
        <w:t xml:space="preserve">을 요청해야 한다.</w:t>
      </w:r>
    </w:p>
    <w:bookmarkEnd w:id="19"/>
    <w:bookmarkStart w:id="20" w:name="Xe01e940aea283f6486abfc4a682dd972f858469"/>
    <w:p>
      <w:pPr>
        <w:pStyle w:val="Heading3"/>
      </w:pPr>
      <w:r>
        <w:rPr>
          <w:rFonts w:ascii="Malgun Gothic" w:hAnsi="Malgun Gothic" w:eastAsia="Malgun Gothic" w:cs="Malgun Gothic"/>
        </w:rPr>
        <w:t xml:space="preserve">3.6 LTV 점검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기준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LTV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토지 단독 (감정평가)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PF 1,660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감정 498.2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333% (의미 제한적)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토지 단독 (분양원가)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PF 1,660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원가 265.5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625% (의미 제한적)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총사업비 기준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PF 1,660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총투입 2,532.87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65.5%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(실효 LTV)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수지분석 표기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PF 1,660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(계산 기준 불명확)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51.2% (수지분석 표기)</w:t>
            </w:r>
          </w:p>
        </w:tc>
      </w:tr>
    </w:tbl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20"/>
    <w:bookmarkEnd w:id="21"/>
    <w:bookmarkStart w:id="26" w:name="X2fe8b88ac8d7b3150042afc5d827566b53b185c"/>
    <w:p>
      <w:pPr>
        <w:pStyle w:val="Heading2"/>
      </w:pPr>
      <w:r>
        <w:rPr>
          <w:rFonts w:ascii="Malgun Gothic" w:hAnsi="Malgun Gothic" w:eastAsia="Malgun Gothic" w:cs="Malgun Gothic"/>
        </w:rPr>
        <w:t xml:space="preserve">4. 입지·시장 분석 (입지·시장 조교 결과)</w:t>
      </w:r>
    </w:p>
    <w:bookmarkStart w:id="22" w:name="X69d9e052b028f9758bd715b68e071e980f99250"/>
    <w:p>
      <w:pPr>
        <w:pStyle w:val="Heading3"/>
      </w:pPr>
      <w:r>
        <w:rPr>
          <w:rFonts w:ascii="Malgun Gothic" w:hAnsi="Malgun Gothic" w:eastAsia="Malgun Gothic" w:cs="Malgun Gothic"/>
        </w:rPr>
        <w:t xml:space="preserve">4.1 입지 강점</w:t>
      </w:r>
    </w:p>
    <w:p>
      <w:pPr>
        <w:pStyle w:val="Compact"/>
        <w:numPr>
          <w:ilvl w:val="0"/>
          <w:numId w:val="1003"/>
        </w:numPr>
      </w:pPr>
      <w:r>
        <w:rPr>
          <w:rFonts w:ascii="Malgun Gothic" w:hAnsi="Malgun Gothic" w:eastAsia="Malgun Gothic" w:cs="Malgun Gothic"/>
        </w:rPr>
        <w:t xml:space="preserve">사상스마트시티 활성화구역 100만평 중 유일한 일반상업지역</w:t>
      </w:r>
    </w:p>
    <w:p>
      <w:pPr>
        <w:pStyle w:val="Compact"/>
        <w:numPr>
          <w:ilvl w:val="0"/>
          <w:numId w:val="1003"/>
        </w:numPr>
      </w:pPr>
      <w:r>
        <w:rPr>
          <w:rFonts w:ascii="Malgun Gothic" w:hAnsi="Malgun Gothic" w:eastAsia="Malgun Gothic" w:cs="Malgun Gothic"/>
        </w:rPr>
        <w:t xml:space="preserve">부산 제2청사(서부산행정복합타운, D-13-01) 옆 부지, 지하통로 직결 예정 (단, 완공 2030년)</w:t>
      </w:r>
    </w:p>
    <w:p>
      <w:pPr>
        <w:pStyle w:val="Compact"/>
        <w:numPr>
          <w:ilvl w:val="0"/>
          <w:numId w:val="1003"/>
        </w:numPr>
      </w:pPr>
      <w:r>
        <w:rPr>
          <w:rFonts w:ascii="Malgun Gothic" w:hAnsi="Malgun Gothic" w:eastAsia="Malgun Gothic" w:cs="Malgun Gothic"/>
        </w:rPr>
        <w:t xml:space="preserve">사상스마트시티역(사상-하단선 5호선) 직결, 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보수 가정상 2028 상반기 개통 추정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(공식 일정 출처 확인 필요, §10 NR1)</w:t>
      </w:r>
    </w:p>
    <w:p>
      <w:pPr>
        <w:pStyle w:val="Compact"/>
        <w:numPr>
          <w:ilvl w:val="0"/>
          <w:numId w:val="1003"/>
        </w:numPr>
      </w:pPr>
      <w:r>
        <w:rPr>
          <w:rFonts w:ascii="Malgun Gothic" w:hAnsi="Malgun Gothic" w:eastAsia="Malgun Gothic" w:cs="Malgun Gothic"/>
        </w:rPr>
        <w:t xml:space="preserve">사상IC·서면 15분·부산역 20분·김해공항 15분·가덕신공항 40분</w:t>
      </w:r>
    </w:p>
    <w:p>
      <w:pPr>
        <w:pStyle w:val="Compact"/>
        <w:numPr>
          <w:ilvl w:val="0"/>
          <w:numId w:val="1003"/>
        </w:numPr>
      </w:pPr>
      <w:r>
        <w:rPr>
          <w:rFonts w:ascii="Malgun Gothic" w:hAnsi="Malgun Gothic" w:eastAsia="Malgun Gothic" w:cs="Malgun Gothic"/>
        </w:rPr>
        <w:t xml:space="preserve">활성화구역 내 시민공원 + 행복주택 2,500세대 + 학장초등학교 인접</w:t>
      </w:r>
    </w:p>
    <w:bookmarkEnd w:id="22"/>
    <w:bookmarkStart w:id="23" w:name="Xa6b13afbe8d648e72a8d85bd0f1ed4dadf21e1d"/>
    <w:p>
      <w:pPr>
        <w:pStyle w:val="Heading3"/>
      </w:pPr>
      <w:r>
        <w:rPr>
          <w:rFonts w:ascii="Malgun Gothic" w:hAnsi="Malgun Gothic" w:eastAsia="Malgun Gothic" w:cs="Malgun Gothic"/>
        </w:rPr>
        <w:t xml:space="preserve">4.2 시장 환경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상품별 미분양 데이터 (비주거 별도 확보)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상품군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부산 지표 (2025-2026)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본 사업 시사점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오피스텔 (사상구)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분양률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bCs/>
              </w:rPr>
              <w:t xml:space="preserve">75.5%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(미분양률 24.5%, 2025.05)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Exit 분양율 61.7% 가정은 보수적, 시장 평균 대비 양호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오피스텔 거래량 (부산 전체)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2026 1Q 전년 대비 +65%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회복 추세, 본 사업 청약 시점에 유리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지식산업센터 (부산 전체)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평균 분양률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bCs/>
              </w:rPr>
              <w:t xml:space="preserve">34%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업무시설 305호 분양은 매우 험난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일반 오피스 공실률 (부산)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8%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입지(역세권) 확보 시 안정적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사상구 상가 공실률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10.2%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(2025 4Q)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근생·판매 분양 신중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부산 비주거 PF 본PF 전환율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수도권 절반 이하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자금조달 난이도 최상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부산 주택 미분양(주택 포함, 비주거 아님)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7,224호 (2026.03)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참고만</w:t>
            </w:r>
            <w:r>
              <w:rPr>
                <w:rFonts w:ascii="Malgun Gothic" w:hAnsi="Malgun Gothic" w:eastAsia="Malgun Gothic" w:cs="Malgun Gothic"/>
              </w:rPr>
              <w:t xml:space="preserve">, 비주거 직접 지표 아님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초기분양률 (분양 후 1년)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2026년 30~50%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수지분석 가정 대비 점검</w:t>
            </w:r>
          </w:p>
        </w:tc>
      </w:tr>
    </w:tbl>
    <w:bookmarkEnd w:id="23"/>
    <w:bookmarkStart w:id="24" w:name="Xd4f58797b3bd5db2e5132b2de857b97b4984d18"/>
    <w:p>
      <w:pPr>
        <w:pStyle w:val="Heading3"/>
      </w:pPr>
      <w:r>
        <w:rPr>
          <w:rFonts w:ascii="Malgun Gothic" w:hAnsi="Malgun Gothic" w:eastAsia="Malgun Gothic" w:cs="Malgun Gothic"/>
        </w:rPr>
        <w:t xml:space="preserve">4.3 사상권 유사 분양 사례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입지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성과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서부산 SK V1 (신평)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사상구 접경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지원시설(상가) 완판, 분양가 600~1,100만원/평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부산벤처타워 (모라)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사상구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분양률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bCs/>
              </w:rPr>
              <w:t xml:space="preserve">81.5%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학장역 지식산업센터 (서한)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학장역(예정)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2024 착공, 본 사업과 직접 경쟁 가능</w:t>
            </w:r>
          </w:p>
        </w:tc>
      </w:tr>
    </w:tbl>
    <w:bookmarkEnd w:id="24"/>
    <w:bookmarkStart w:id="25" w:name="X674ccf1b65afc2ce130ae8c709be1e6bb49effb"/>
    <w:p>
      <w:pPr>
        <w:pStyle w:val="Heading3"/>
      </w:pPr>
      <w:r>
        <w:rPr>
          <w:rFonts w:ascii="Malgun Gothic" w:hAnsi="Malgun Gothic" w:eastAsia="Malgun Gothic" w:cs="Malgun Gothic"/>
        </w:rPr>
        <w:t xml:space="preserve">4.4 SWOT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유일 일반상업지역, 용적률 1,143%, 인허가 완료, 사상스마트시티역 직결, 행정복합타운 인접, 사상구 오피스텔 분양률 75.5%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토지 잔금·정산금 미납, 분양가·공사비·금리 가정 비현실, 분양 세대수 자료 간 상이, HUG 표준PF 적격성 불확실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가덕신공항 2030, 서부산권 균형발전 5,000억 공공기여, 부산 제2청사 임직원 배후수요, 부산 오피스텔 거래량 회복(+65%)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지식산업센터 분양률 34%, 사상-하단선 1년 지연, PF 시장 초양극화, 부산 중소건설사 부도, 학장역 KIC 경쟁</w:t>
            </w:r>
          </w:p>
        </w:tc>
      </w:tr>
    </w:tbl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25"/>
    <w:bookmarkEnd w:id="26"/>
    <w:bookmarkStart w:id="30" w:name="X2a5c7b74370a7987a1f65e115f1760d645d2ed8"/>
    <w:p>
      <w:pPr>
        <w:pStyle w:val="Heading2"/>
      </w:pPr>
      <w:r>
        <w:rPr>
          <w:rFonts w:ascii="Malgun Gothic" w:hAnsi="Malgun Gothic" w:eastAsia="Malgun Gothic" w:cs="Malgun Gothic"/>
        </w:rPr>
        <w:t xml:space="preserve">5. 리스크 분석 (리스크 조교 결과)</w:t>
      </w:r>
    </w:p>
    <w:bookmarkStart w:id="27" w:name="X840262bd838f858fed8e79e06907a3b09107a89"/>
    <w:p>
      <w:pPr>
        <w:pStyle w:val="Heading3"/>
      </w:pPr>
      <w:r>
        <w:rPr>
          <w:rFonts w:ascii="Malgun Gothic" w:hAnsi="Malgun Gothic" w:eastAsia="Malgun Gothic" w:cs="Malgun Gothic"/>
        </w:rPr>
        <w:t xml:space="preserve">5.1 리스크 매트릭스 — Codex 지적 반영 (R7 등급 격상)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발생가능성(1-5)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영향도(1-5)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점수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등급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PF 금리 가정 비현실 → 이자 +120~220억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공사비 단가 +15~25% → +226~452억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분양가 −10% 시 적자 전환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사상-하단선 1년 지연 → 분양 동력 후행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토지 잔금·정산금 265.6억 미납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부산 지식산업센터 분양률 34% (업무시설 305호 분양)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분양 세대수 자료 간 차이 (252 vs 305, 378 vs 396) → 매출·면적·인허가 직접 연결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High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행정복합타운 완공 2030 vs 사업 매각 2029.7 시점 mismatch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중소 시공사 신용 리스크 (부산권)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HUG 표준PF 적격성 미충족 → 대체 PF 구조 필요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High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운영 리스크 (관리비/공실/임대)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인허가 변경 리스크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정책 리스크 (활성화구역 1,300% 유지)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Low</w:t>
            </w:r>
          </w:p>
        </w:tc>
      </w:tr>
    </w:tbl>
    <w:bookmarkEnd w:id="27"/>
    <w:bookmarkStart w:id="28" w:name="X7061195d896642351c1f2f7e8db0062b41632d4"/>
    <w:p>
      <w:pPr>
        <w:pStyle w:val="Heading3"/>
      </w:pPr>
      <w:r>
        <w:rPr>
          <w:rFonts w:ascii="Malgun Gothic" w:hAnsi="Malgun Gothic" w:eastAsia="Malgun Gothic" w:cs="Malgun Gothic"/>
        </w:rPr>
        <w:t xml:space="preserve">5.2 Top 5 핵심 리스크</w:t>
      </w:r>
    </w:p>
    <w:p>
      <w:pPr>
        <w:pStyle w:val="Compact"/>
        <w:numPr>
          <w:ilvl w:val="0"/>
          <w:numId w:val="1004"/>
        </w:numPr>
      </w:pPr>
      <w:r>
        <w:rPr>
          <w:rFonts w:ascii="Malgun Gothic" w:hAnsi="Malgun Gothic" w:eastAsia="Malgun Gothic" w:cs="Malgun Gothic"/>
          <w:b/>
          <w:bCs/>
        </w:rPr>
        <w:t xml:space="preserve">R1 — PF 금리 시장 괴리(20점)</w:t>
      </w:r>
      <w:r>
        <w:rPr>
          <w:rFonts w:ascii="Malgun Gothic" w:hAnsi="Malgun Gothic" w:eastAsia="Malgun Gothic" w:cs="Malgun Gothic"/>
        </w:rPr>
        <w:t xml:space="preserve">: 이자 +120~220억</w:t>
      </w:r>
    </w:p>
    <w:p>
      <w:pPr>
        <w:pStyle w:val="Compact"/>
        <w:numPr>
          <w:ilvl w:val="0"/>
          <w:numId w:val="1004"/>
        </w:numPr>
      </w:pPr>
      <w:r>
        <w:rPr>
          <w:rFonts w:ascii="Malgun Gothic" w:hAnsi="Malgun Gothic" w:eastAsia="Malgun Gothic" w:cs="Malgun Gothic"/>
          <w:b/>
          <w:bCs/>
        </w:rPr>
        <w:t xml:space="preserve">R2 — 공사비 저평가(16점)</w:t>
      </w:r>
      <w:r>
        <w:rPr>
          <w:rFonts w:ascii="Malgun Gothic" w:hAnsi="Malgun Gothic" w:eastAsia="Malgun Gothic" w:cs="Malgun Gothic"/>
        </w:rPr>
        <w:t xml:space="preserve">: 시공비 +226~452억</w:t>
      </w:r>
    </w:p>
    <w:p>
      <w:pPr>
        <w:pStyle w:val="Compact"/>
        <w:numPr>
          <w:ilvl w:val="0"/>
          <w:numId w:val="1004"/>
        </w:numPr>
      </w:pPr>
      <w:r>
        <w:rPr>
          <w:rFonts w:ascii="Malgun Gothic" w:hAnsi="Malgun Gothic" w:eastAsia="Malgun Gothic" w:cs="Malgun Gothic"/>
          <w:b/>
          <w:bCs/>
        </w:rPr>
        <w:t xml:space="preserve">R6 — 업무시설 305호 분양 위험(16점)</w:t>
      </w:r>
      <w:r>
        <w:rPr>
          <w:rFonts w:ascii="Malgun Gothic" w:hAnsi="Malgun Gothic" w:eastAsia="Malgun Gothic" w:cs="Malgun Gothic"/>
        </w:rPr>
        <w:t xml:space="preserve">: 부산 KIC 분양률 34% 환경</w:t>
      </w:r>
    </w:p>
    <w:p>
      <w:pPr>
        <w:pStyle w:val="Compact"/>
        <w:numPr>
          <w:ilvl w:val="0"/>
          <w:numId w:val="1004"/>
        </w:numPr>
      </w:pPr>
      <w:r>
        <w:rPr>
          <w:rFonts w:ascii="Malgun Gothic" w:hAnsi="Malgun Gothic" w:eastAsia="Malgun Gothic" w:cs="Malgun Gothic"/>
          <w:b/>
          <w:bCs/>
        </w:rPr>
        <w:t xml:space="preserve">R7 — 분양 세대수 미확정(16점)</w:t>
      </w:r>
      <w:r>
        <w:rPr>
          <w:rFonts w:ascii="Malgun Gothic" w:hAnsi="Malgun Gothic" w:eastAsia="Malgun Gothic" w:cs="Malgun Gothic"/>
        </w:rPr>
        <w:t xml:space="preserve">: 본 보고서 매출수치 자체가 잠정치</w:t>
      </w:r>
    </w:p>
    <w:p>
      <w:pPr>
        <w:pStyle w:val="Compact"/>
        <w:numPr>
          <w:ilvl w:val="0"/>
          <w:numId w:val="1004"/>
        </w:numPr>
      </w:pPr>
      <w:r>
        <w:rPr>
          <w:rFonts w:ascii="Malgun Gothic" w:hAnsi="Malgun Gothic" w:eastAsia="Malgun Gothic" w:cs="Malgun Gothic"/>
          <w:b/>
          <w:bCs/>
        </w:rPr>
        <w:t xml:space="preserve">R10 — HUG 표준PF 적격성 미충족(15점)</w:t>
      </w:r>
      <w:r>
        <w:rPr>
          <w:rFonts w:ascii="Malgun Gothic" w:hAnsi="Malgun Gothic" w:eastAsia="Malgun Gothic" w:cs="Malgun Gothic"/>
        </w:rPr>
        <w:t xml:space="preserve">: 자금조달 구조 재설계 필요</w:t>
      </w:r>
    </w:p>
    <w:bookmarkEnd w:id="28"/>
    <w:bookmarkStart w:id="29" w:name="Xbabcc217d3b77f6a8b0735c75b847622ec27d9c"/>
    <w:p>
      <w:pPr>
        <w:pStyle w:val="Heading3"/>
      </w:pPr>
      <w:r>
        <w:rPr>
          <w:rFonts w:ascii="Malgun Gothic" w:hAnsi="Malgun Gothic" w:eastAsia="Malgun Gothic" w:cs="Malgun Gothic"/>
        </w:rPr>
        <w:t xml:space="preserve">5.3 리스크 완화 방안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완화 방안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건설공제조합 비주택 PF + 시중은행 컨소시엄, 가중평균 6.5%대 목표 lock-in, 변동금리 헤지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시공사 GMP(보장최대가격) 계약, 자재 단가 변동 시행사 일부 부담 한도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모델하우스 오픈 후 분양가 단계 조정, 1차 분양 보수 가격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업무시설 분양은 행정복합타운 입주 임직원 타겟 마케팅, 임대 전환 옵션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분양카탈로그 확정본 수령 후 재무 모델 재산정, 미확정 기간 매출수치 잠정치 명시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R10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HUG 표준PF 적격성 사전 협의(주거비중 재계산), 미충족 시 건설공제조합 비주택 PF + HUG 분양보증 패키지로 재설계</w:t>
            </w:r>
          </w:p>
        </w:tc>
      </w:tr>
    </w:tbl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29"/>
    <w:bookmarkEnd w:id="30"/>
    <w:bookmarkStart w:id="36" w:name="Xb4f89fb07b3e6b305d31a9a6fddd1973bfc930d"/>
    <w:p>
      <w:pPr>
        <w:pStyle w:val="Heading2"/>
      </w:pPr>
      <w:r>
        <w:rPr>
          <w:rFonts w:ascii="Malgun Gothic" w:hAnsi="Malgun Gothic" w:eastAsia="Malgun Gothic" w:cs="Malgun Gothic"/>
        </w:rPr>
        <w:t xml:space="preserve">6. 통합 권고 (통합 조교 결과)</w:t>
      </w:r>
    </w:p>
    <w:bookmarkStart w:id="31" w:name="X80553e8093c196f4ddd4ea0931cc8f1e9da0fc5"/>
    <w:p>
      <w:pPr>
        <w:pStyle w:val="Heading3"/>
      </w:pPr>
      <w:r>
        <w:rPr>
          <w:rFonts w:ascii="Malgun Gothic" w:hAnsi="Malgun Gothic" w:eastAsia="Malgun Gothic" w:cs="Malgun Gothic"/>
        </w:rPr>
        <w:t xml:space="preserve">6.1 종합 평가표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평가 영역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점수(100)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가중점수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입지 희소성·교통·배후수요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인허가·법규 안정성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12.75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재무 가정 현실성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9.5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시장 수급 (분양환경)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10.4 (오피스텔 75% / KIC 34% 가중평균 보정)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시행사·자금조달 구조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7.5 (HUG 적격성 불확실 반영)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종합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60.65 / 100</w:t>
            </w:r>
          </w:p>
        </w:tc>
      </w:tr>
    </w:tbl>
    <w:bookmarkEnd w:id="31"/>
    <w:bookmarkStart w:id="32" w:name="X3a01aed2a08e04c0a3486d01114d17704d2f52e"/>
    <w:p>
      <w:pPr>
        <w:pStyle w:val="Heading3"/>
      </w:pPr>
      <w:r>
        <w:rPr>
          <w:rFonts w:ascii="Malgun Gothic" w:hAnsi="Malgun Gothic" w:eastAsia="Malgun Gothic" w:cs="Malgun Gothic"/>
        </w:rPr>
        <w:t xml:space="preserve">6.2 의사결정 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조건부 보류 (Conditional Hold)</w:t>
      </w:r>
    </w:p>
    <w:p>
      <w:pPr>
        <w:pStyle w:val="BlockText"/>
      </w:pPr>
      <w:r>
        <w:rPr>
          <w:rFonts w:ascii="Malgun Gothic" w:hAnsi="Malgun Gothic" w:eastAsia="Malgun Gothic" w:cs="Malgun Gothic"/>
        </w:rPr>
        <w:t xml:space="preserve">사업의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부동산 자산적 가치는 우수</w:t>
      </w:r>
      <w:r>
        <w:rPr>
          <w:rFonts w:ascii="Malgun Gothic" w:hAnsi="Malgun Gothic" w:eastAsia="Malgun Gothic" w:cs="Malgun Gothic"/>
        </w:rPr>
        <w:t xml:space="preserve">(입지 82점, 인허가 85점)하나,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금융·재무 가정의 시장 괴리가 심각</w:t>
      </w:r>
      <w:r>
        <w:rPr>
          <w:rFonts w:ascii="Malgun Gothic" w:hAnsi="Malgun Gothic" w:eastAsia="Malgun Gothic" w:cs="Malgun Gothic"/>
        </w:rPr>
        <w:t xml:space="preserve">(38점, HUG 적격성 불확실)하여 현 수지분석 기준 그대로의 투자 결정은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보류</w:t>
      </w:r>
      <w:r>
        <w:rPr>
          <w:rFonts w:ascii="Malgun Gothic" w:hAnsi="Malgun Gothic" w:eastAsia="Malgun Gothic" w:cs="Malgun Gothic"/>
        </w:rPr>
        <w:t xml:space="preserve">한다. 다음 6개 조건이 모두 충족되면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선별적 권고</w:t>
      </w:r>
      <w:r>
        <w:rPr>
          <w:rFonts w:ascii="Malgun Gothic" w:hAnsi="Malgun Gothic" w:eastAsia="Malgun Gothic" w:cs="Malgun Gothic"/>
        </w:rPr>
        <w:t xml:space="preserve">로 전환 가능하다.</w:t>
      </w:r>
    </w:p>
    <w:bookmarkEnd w:id="32"/>
    <w:bookmarkStart w:id="33" w:name="Xa89212fb7b669d7680ebca19bd016a190fe5e97"/>
    <w:p>
      <w:pPr>
        <w:pStyle w:val="Heading3"/>
      </w:pPr>
      <w:r>
        <w:rPr>
          <w:rFonts w:ascii="Malgun Gothic" w:hAnsi="Malgun Gothic" w:eastAsia="Malgun Gothic" w:cs="Malgun Gothic"/>
        </w:rPr>
        <w:t xml:space="preserve">6.3 조건부 권고를 위한 6대 선결 조건</w:t>
      </w:r>
    </w:p>
    <w:p>
      <w:pPr>
        <w:pStyle w:val="Compact"/>
        <w:numPr>
          <w:ilvl w:val="0"/>
          <w:numId w:val="1005"/>
        </w:numPr>
      </w:pPr>
      <w:r>
        <w:rPr>
          <w:rFonts w:ascii="Malgun Gothic" w:hAnsi="Malgun Gothic" w:eastAsia="Malgun Gothic" w:cs="Malgun Gothic"/>
          <w:b/>
          <w:bCs/>
        </w:rPr>
        <w:t xml:space="preserve">PF 구조 재설계 + 금리 lock-in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HUG 주거비중 70% 미충족 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건설공제조합 비주택 PF + HUG 분양보증 패키지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로 재구조화, 가중평균 6.5%대 lock-in 시도. 절감 산식: 평균잔액 약 1,160억 × (시장 중간값 7.25% − lock-in 6.5%) × 4.42년 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약 38억 절감</w:t>
      </w:r>
      <w:r>
        <w:rPr>
          <w:rFonts w:ascii="Malgun Gothic" w:hAnsi="Malgun Gothic" w:eastAsia="Malgun Gothic" w:cs="Malgun Gothic"/>
        </w:rPr>
        <w:t xml:space="preserve">. 이는 시장 보정 Base 이익률을 6.14% → 약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7.3%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로 끌어올리는 효과로, 단독 충족만으로는 위험 신호 해소가 불충분하며 §6.3 다른 조건과 패키지로 충족되어야 한다.</w:t>
      </w:r>
    </w:p>
    <w:p>
      <w:pPr>
        <w:pStyle w:val="Compact"/>
        <w:numPr>
          <w:ilvl w:val="0"/>
          <w:numId w:val="1005"/>
        </w:numPr>
      </w:pPr>
      <w:r>
        <w:rPr>
          <w:rFonts w:ascii="Malgun Gothic" w:hAnsi="Malgun Gothic" w:eastAsia="Malgun Gothic" w:cs="Malgun Gothic"/>
          <w:b/>
          <w:bCs/>
        </w:rPr>
        <w:t xml:space="preserve">공사비 시장가 GMP 계약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직접공사비 단가 7,500천원/평 적용한 수지분석 재제출,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시공사 GMP 계약 + 변동분 부담 한도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명시.</w:t>
      </w:r>
    </w:p>
    <w:p>
      <w:pPr>
        <w:pStyle w:val="Compact"/>
        <w:numPr>
          <w:ilvl w:val="0"/>
          <w:numId w:val="1005"/>
        </w:numPr>
      </w:pPr>
      <w:r>
        <w:rPr>
          <w:rFonts w:ascii="Malgun Gothic" w:hAnsi="Malgun Gothic" w:eastAsia="Malgun Gothic" w:cs="Malgun Gothic"/>
          <w:b/>
          <w:bCs/>
        </w:rPr>
        <w:t xml:space="preserve">분양 일정 1년 후행 시나리오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사상-하단선 개통 2028 상반기 기준 분양 마케팅 캘린더 재조정, 청약 시점 분양가 보수 산정.</w:t>
      </w:r>
    </w:p>
    <w:p>
      <w:pPr>
        <w:pStyle w:val="Compact"/>
        <w:numPr>
          <w:ilvl w:val="0"/>
          <w:numId w:val="1005"/>
        </w:numPr>
      </w:pPr>
      <w:r>
        <w:rPr>
          <w:rFonts w:ascii="Malgun Gothic" w:hAnsi="Malgun Gothic" w:eastAsia="Malgun Gothic" w:cs="Malgun Gothic"/>
          <w:b/>
          <w:bCs/>
        </w:rPr>
        <w:t xml:space="preserve">잔금·정산금 265.6억 자금조달 명시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추가 PF / 자기자본 증액 / 부산도시공사 분납 연장 중 택일 합의서 사본 확인.</w:t>
      </w:r>
    </w:p>
    <w:p>
      <w:pPr>
        <w:pStyle w:val="Compact"/>
        <w:numPr>
          <w:ilvl w:val="0"/>
          <w:numId w:val="1005"/>
        </w:numPr>
      </w:pPr>
      <w:r>
        <w:rPr>
          <w:rFonts w:ascii="Malgun Gothic" w:hAnsi="Malgun Gothic" w:eastAsia="Malgun Gothic" w:cs="Malgun Gothic"/>
          <w:b/>
          <w:bCs/>
        </w:rPr>
        <w:t xml:space="preserve">분양가 ±10% 감내 자본구조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자기자본 380억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500억 이상</w:t>
      </w:r>
      <w:r>
        <w:rPr>
          <w:rFonts w:ascii="Malgun Gothic" w:hAnsi="Malgun Gothic" w:eastAsia="Malgun Gothic" w:cs="Malgun Gothic"/>
        </w:rPr>
        <w:t xml:space="preserve">, 또는 후순위 트랜치 추가로 분양가 −10% 시나리오에서 자본잠식 회피 입증.</w:t>
      </w:r>
    </w:p>
    <w:p>
      <w:pPr>
        <w:pStyle w:val="Compact"/>
        <w:numPr>
          <w:ilvl w:val="0"/>
          <w:numId w:val="1005"/>
        </w:numPr>
      </w:pPr>
      <w:r>
        <w:rPr>
          <w:rFonts w:ascii="Malgun Gothic" w:hAnsi="Malgun Gothic" w:eastAsia="Malgun Gothic" w:cs="Malgun Gothic"/>
          <w:b/>
          <w:bCs/>
        </w:rPr>
        <w:t xml:space="preserve">기업지원복합센터 분양·임대 가정 확정 (Codex 지적 반영)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미독해 PDF 「사상 기업지원복합센터 서류」의 분양·임대 가정이 본 사업 매출·임대수익에 미치는 영향이 확정될 때까지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의사결정 자체를 보류</w:t>
      </w:r>
      <w:r>
        <w:rPr>
          <w:rFonts w:ascii="Malgun Gothic" w:hAnsi="Malgun Gothic" w:eastAsia="Malgun Gothic" w:cs="Malgun Gothic"/>
        </w:rPr>
        <w:t xml:space="preserve">한다. 해당 PDF 본문 수령 후 재무 모델 재구성 필수.</w:t>
      </w:r>
    </w:p>
    <w:bookmarkEnd w:id="33"/>
    <w:bookmarkStart w:id="34" w:name="Xbf639b325dbdd2bef5e567295a6a35c48349a02"/>
    <w:p>
      <w:pPr>
        <w:pStyle w:val="Heading3"/>
      </w:pPr>
      <w:r>
        <w:rPr>
          <w:rFonts w:ascii="Malgun Gothic" w:hAnsi="Malgun Gothic" w:eastAsia="Malgun Gothic" w:cs="Malgun Gothic"/>
        </w:rPr>
        <w:t xml:space="preserve">6.4 권고 의사결정 트리</w:t>
      </w:r>
    </w:p>
    <w:p>
      <w:pPr>
        <w:pStyle w:val="SourceCode"/>
      </w:pPr>
      <w:r>
        <w:rPr>
          <w:rFonts w:ascii="Malgun Gothic" w:hAnsi="Malgun Gothic" w:eastAsia="Malgun Gothic" w:cs="Malgun Gothic"/>
          <w:rStyle w:val="VerbatimChar"/>
        </w:rPr>
        <w:t xml:space="preserve">조건 1~6 모두 충족 ──→ 선별적 권고 (자기자본 비중 35%+, 분양 마케팅 전략 검증 후 진입)</w:t>
      </w:r>
      <w:r>
        <w:rPr>
          <w:rFonts w:ascii="Malgun Gothic" w:hAnsi="Malgun Gothic" w:eastAsia="Malgun Gothic" w:cs="Malgun Gothic"/>
        </w:rPr>
        <w:br/>
      </w:r>
      <w:r>
        <w:rPr>
          <w:rFonts w:ascii="Malgun Gothic" w:hAnsi="Malgun Gothic" w:eastAsia="Malgun Gothic" w:cs="Malgun Gothic"/>
          <w:rStyle w:val="VerbatimChar"/>
        </w:rPr>
        <w:t xml:space="preserve">조건 4~5건 충족   ──→ 조건부 추가 협상 (시행사 자본 보강 및 PF 재구조화 합의)</w:t>
      </w:r>
      <w:r>
        <w:rPr>
          <w:rFonts w:ascii="Malgun Gothic" w:hAnsi="Malgun Gothic" w:eastAsia="Malgun Gothic" w:cs="Malgun Gothic"/>
        </w:rPr>
        <w:br/>
      </w:r>
      <w:r>
        <w:rPr>
          <w:rFonts w:ascii="Malgun Gothic" w:hAnsi="Malgun Gothic" w:eastAsia="Malgun Gothic" w:cs="Malgun Gothic"/>
          <w:rStyle w:val="VerbatimChar"/>
        </w:rPr>
        <w:t xml:space="preserve">조건 3건 이하 충족 ──→ 보류 유지 (사상-하단선 개통 시점 직전 재평가)</w:t>
      </w:r>
    </w:p>
    <w:bookmarkEnd w:id="34"/>
    <w:bookmarkStart w:id="35" w:name="Xa4c7ae01415d8b1e4ca9f037a5a59e9add14405"/>
    <w:p>
      <w:pPr>
        <w:pStyle w:val="Heading3"/>
      </w:pPr>
      <w:r>
        <w:rPr>
          <w:rFonts w:ascii="Malgun Gothic" w:hAnsi="Malgun Gothic" w:eastAsia="Malgun Gothic" w:cs="Malgun Gothic"/>
        </w:rPr>
        <w:t xml:space="preserve">6.5 단계별 의사결정 시점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시점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의사결정 트리거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2026년 6~9월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분양카탈로그 확정본 + PF 텀시트 수령 후 1차 재평가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2027년 상반기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모델하우스 오픈 + 청약율 25% 도달 여부로 2차 재평가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2028년 상반기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사상-하단선 개통 시점, 분양율 50% 도달 여부로 3차 재평가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2029년 상반기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준공 6개월 전, 잔여 분양 + 매각/임대 전환 결정</w:t>
            </w:r>
          </w:p>
        </w:tc>
      </w:tr>
    </w:tbl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35"/>
    <w:bookmarkEnd w:id="36"/>
    <w:bookmarkStart w:id="37" w:name="X7d10d994025d37522d54d183bb92d6f0412e1f2"/>
    <w:p>
      <w:pPr>
        <w:pStyle w:val="Heading2"/>
      </w:pPr>
      <w:r>
        <w:rPr>
          <w:rFonts w:ascii="Malgun Gothic" w:hAnsi="Malgun Gothic" w:eastAsia="Malgun Gothic" w:cs="Malgun Gothic"/>
        </w:rPr>
        <w:t xml:space="preserve">7. 부록 — 핵심 가정 비교표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변수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수지분석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마케팅 IR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감정평가서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시장 보정 (Gemini 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토지 분양원가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399.96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188.7(매매계약 원금)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265.5(미납 잔금+정산금)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토지 감정평가액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498.2억</w:t>
            </w:r>
            <w:r>
              <w:rPr>
                <w:rFonts w:ascii="Malgun Gothic" w:hAnsi="Malgun Gothic" w:eastAsia="Malgun Gothic" w:cs="Malgun Gothic"/>
              </w:rPr>
              <w:t xml:space="preserve"> </w:t>
            </w:r>
            <w:r>
              <w:rPr>
                <w:rFonts w:ascii="Malgun Gothic" w:hAnsi="Malgun Gothic" w:eastAsia="Malgun Gothic" w:cs="Malgun Gothic"/>
              </w:rPr>
              <w:t xml:space="preserve">(10,600천원/㎡)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거래사례 9,010~22,000천원/㎡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공사비 단가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6,500천원/평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7,500~8,500천원/평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PF 가중평균 금리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약 4.0%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6.5~8.0%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HUG 표준PF 적용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Tr.A-1/A-2 모두 적용 가정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주거비중 약 43.87%(연면적 기준), 70% 미충족 → 적격성 미확정·고위험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 세대수 (업무)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252호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305~320호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확정본 미수령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분양 세대수 (오피스텔)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378호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396호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확정본 미수령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사상-하단선 완공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2026.12 가정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2026.12 가정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2027년 말 완공, 2028 상반기 개통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행정복합타운 착공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2025 상반기 가정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2026.06 착공, 2030 완공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부산 비주거 미분양 (주택 포함)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7,224호 (2026.03, 참고용)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사상구 오피스텔 분양률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75.5% (2025.05)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부산 지식산업센터 분양률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평균 34% (2025)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사상구 상가 공실률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10.2% (2025 4Q)</w:t>
            </w:r>
          </w:p>
        </w:tc>
      </w:tr>
    </w:tbl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37"/>
    <w:bookmarkStart w:id="40" w:name="X3e991cb371a9154aa17dcf56f0aa0f246e246a1"/>
    <w:p>
      <w:pPr>
        <w:pStyle w:val="Heading2"/>
      </w:pPr>
      <w:r>
        <w:rPr>
          <w:rFonts w:ascii="Malgun Gothic" w:hAnsi="Malgun Gothic" w:eastAsia="Malgun Gothic" w:cs="Malgun Gothic"/>
        </w:rPr>
        <w:t xml:space="preserve">8. 분석 한계 및 의사결정 보류 조건</w:t>
      </w:r>
    </w:p>
    <w:bookmarkStart w:id="38" w:name="Xd17cdc8deda2fffe61f0e9512cbdc3741405875"/>
    <w:p>
      <w:pPr>
        <w:pStyle w:val="Heading3"/>
      </w:pPr>
      <w:r>
        <w:rPr>
          <w:rFonts w:ascii="Malgun Gothic" w:hAnsi="Malgun Gothic" w:eastAsia="Malgun Gothic" w:cs="Malgun Gothic"/>
        </w:rPr>
        <w:t xml:space="preserve">8.1 의사결정 보류 조건 (Hard Block)</w:t>
      </w:r>
    </w:p>
    <w:p>
      <w:pPr>
        <w:pStyle w:val="FirstParagraph"/>
      </w:pPr>
      <w:r>
        <w:rPr>
          <w:rFonts w:ascii="Malgun Gothic" w:hAnsi="Malgun Gothic" w:eastAsia="Malgun Gothic" w:cs="Malgun Gothic"/>
        </w:rPr>
        <w:t xml:space="preserve">본 보고서의 권고를 시행하기 전, 다음 자료가 확보될 때까지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b/>
          <w:bCs/>
        </w:rPr>
        <w:t xml:space="preserve">의사결정을 보류한다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(단순한 "추가 자료"가 아니라 의사결정 자체의 전제조건):</w:t>
      </w:r>
    </w:p>
    <w:p>
      <w:pPr>
        <w:pStyle w:val="Compact"/>
        <w:numPr>
          <w:ilvl w:val="0"/>
          <w:numId w:val="1006"/>
        </w:numPr>
      </w:pPr>
      <w:r>
        <w:rPr>
          <w:rFonts w:ascii="Malgun Gothic" w:hAnsi="Malgun Gothic" w:eastAsia="Malgun Gothic" w:cs="Malgun Gothic"/>
          <w:b/>
          <w:bCs/>
        </w:rPr>
        <w:t xml:space="preserve">분양카탈로그 확정본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업무시설 252 vs 305, 오피스텔 378 vs 396 차이 확정</w:t>
      </w:r>
    </w:p>
    <w:p>
      <w:pPr>
        <w:pStyle w:val="Compact"/>
        <w:numPr>
          <w:ilvl w:val="0"/>
          <w:numId w:val="1006"/>
        </w:numPr>
      </w:pPr>
      <w:r>
        <w:rPr>
          <w:rFonts w:ascii="Malgun Gothic" w:hAnsi="Malgun Gothic" w:eastAsia="Malgun Gothic" w:cs="Malgun Gothic"/>
          <w:b/>
          <w:bCs/>
        </w:rPr>
        <w:t xml:space="preserve">「사상 기업지원복합센터 서류」 PDF 본문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현재 환경에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rStyle w:val="VerbatimChar"/>
        </w:rPr>
        <w:t xml:space="preserve">pdftoppm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미설치로 미독해, 기업지원시설 분양·임대 가정이 본 사업 매출·임대수익에 미치는 영향을 정량화하기 전까지 보고서의 결론은 잠정적이다</w:t>
      </w:r>
    </w:p>
    <w:p>
      <w:pPr>
        <w:pStyle w:val="Compact"/>
        <w:numPr>
          <w:ilvl w:val="0"/>
          <w:numId w:val="1006"/>
        </w:numPr>
      </w:pPr>
      <w:r>
        <w:rPr>
          <w:rFonts w:ascii="Malgun Gothic" w:hAnsi="Malgun Gothic" w:eastAsia="Malgun Gothic" w:cs="Malgun Gothic"/>
          <w:b/>
          <w:bCs/>
        </w:rPr>
        <w:t xml:space="preserve">PF 텀시트(또는 의향서)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Tr.A-1 2.2%, Tr.A-2 5.0% 실제 약정 여부, HUG 주거비중 70% 적격성 사전 협의 결과</w:t>
      </w:r>
    </w:p>
    <w:bookmarkEnd w:id="38"/>
    <w:bookmarkStart w:id="39" w:name="X94425c5021a35c329e7309c017313a7ecd910df"/>
    <w:p>
      <w:pPr>
        <w:pStyle w:val="Heading3"/>
      </w:pPr>
      <w:r>
        <w:rPr>
          <w:rFonts w:ascii="Malgun Gothic" w:hAnsi="Malgun Gothic" w:eastAsia="Malgun Gothic" w:cs="Malgun Gothic"/>
        </w:rPr>
        <w:t xml:space="preserve">8.2 분석 한계 (Soft Limit)</w:t>
      </w:r>
    </w:p>
    <w:p>
      <w:pPr>
        <w:pStyle w:val="Compact"/>
        <w:numPr>
          <w:ilvl w:val="0"/>
          <w:numId w:val="1007"/>
        </w:numPr>
      </w:pPr>
      <w:r>
        <w:rPr>
          <w:rFonts w:ascii="Malgun Gothic" w:hAnsi="Malgun Gothic" w:eastAsia="Malgun Gothic" w:cs="Malgun Gothic"/>
        </w:rPr>
        <w:t xml:space="preserve">시행사 SPC 재무제표 — 자기자본 380억 구성 및 KDB인프라 출자조건 미확보</w:t>
      </w:r>
    </w:p>
    <w:p>
      <w:pPr>
        <w:pStyle w:val="Compact"/>
        <w:numPr>
          <w:ilvl w:val="0"/>
          <w:numId w:val="1007"/>
        </w:numPr>
      </w:pPr>
      <w:r>
        <w:rPr>
          <w:rFonts w:ascii="Malgun Gothic" w:hAnsi="Malgun Gothic" w:eastAsia="Malgun Gothic" w:cs="Malgun Gothic"/>
        </w:rPr>
        <w:t xml:space="preserve">시공사 견적서·계약서 — GMP 여부 및 단가 변동 조항 미확보</w:t>
      </w:r>
    </w:p>
    <w:p>
      <w:pPr>
        <w:pStyle w:val="Compact"/>
        <w:numPr>
          <w:ilvl w:val="0"/>
          <w:numId w:val="1007"/>
        </w:numPr>
      </w:pPr>
      <w:r>
        <w:rPr>
          <w:rFonts w:ascii="Malgun Gothic" w:hAnsi="Malgun Gothic" w:eastAsia="Malgun Gothic" w:cs="Malgun Gothic"/>
        </w:rPr>
        <w:t xml:space="preserve">부산도시공사 토지매매 변경계약 — 잔금·정산금 일정 변경 합의서 미확보</w:t>
      </w:r>
    </w:p>
    <w:p>
      <w:pPr>
        <w:pStyle w:val="Compact"/>
        <w:numPr>
          <w:ilvl w:val="0"/>
          <w:numId w:val="1007"/>
        </w:numPr>
      </w:pPr>
      <w:r>
        <w:rPr>
          <w:rFonts w:ascii="Malgun Gothic" w:hAnsi="Malgun Gothic" w:eastAsia="Malgun Gothic" w:cs="Malgun Gothic"/>
        </w:rPr>
        <w:t xml:space="preserve">부산 비주거 분양률 데이터는 2025.05 기준 일부만 확보, 2026년 데이터 미확보</w:t>
      </w:r>
    </w:p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39"/>
    <w:bookmarkEnd w:id="40"/>
    <w:bookmarkStart w:id="41" w:name="X6dad73f70831ada998e2523be71aee32bd70b7f"/>
    <w:p>
      <w:pPr>
        <w:pStyle w:val="Heading2"/>
      </w:pPr>
      <w:r>
        <w:rPr>
          <w:rFonts w:ascii="Malgun Gothic" w:hAnsi="Malgun Gothic" w:eastAsia="Malgun Gothic" w:cs="Malgun Gothic"/>
        </w:rPr>
        <w:t xml:space="preserve">9. 변경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버전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일자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변경 사항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초안 작성, Codex 1차 리뷰 요청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Codex Major 8건 반영 + Gemini 재조사 2건 통합 — PF 이자/공사비 산식 단일 범위 통일, 이익률 분모 고정(원 분양수입), DSCR → 단순 이자커버리지 명칭 격하, R7 등급 격상, R10(HUG 적격성) 추가, 비주거 미분양 자료 별도 확보, 기업지원복합센터 미독해를 보류 조건으로 격상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Codex 2차 Major 4건 + Minor 1건 반영 — 연면적 단위 환산 정정(72,910.84㎡ ≈ 22,055평) 및 계약면적·공사비 적용면적 분리 표기 §2.1, HUG 주거비중 연면적 기준 43.87% 재계산 후 "적용 불가" → "적격성 미확정·고위험" 격하 §2.4, "분양율 50%" → "분양 지연" 명칭 변경 + 실분양율 50% 보수 시나리오 별도 추가 §3.3, 금리 lock-in 절감액 산식 재계산(+90~120억 → 약 38억) §6.3, 사상-하단선 일정 표현 출처 기반 정리 §1.6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v3.1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b/>
                <w:bCs/>
              </w:rPr>
              <w:t xml:space="preserve">Codex 3차 Major 4건 + Minor 2건 반영 — 본문 전반 "연면적 22,577평" → "공사비 적용면적 22,577평"으로 일괄 정정, §2.1 계약면적 합계와 공사비 적용면적 차이 명시(22,577평 ≈ 74,635㎡), §4.1 "개통 2028 상반기" → "보수 가정상 2028 상반기 개통 추정", §3.3 실분양율 50% 시나리오 수치 미세조정(△486.13억/2,754.76억/△347.11), 부록 §7 HUG 표현 "적용 불가 가능성" → "적격성 미확정·고위험" 통일</w:t>
            </w:r>
          </w:p>
        </w:tc>
      </w:tr>
    </w:tbl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41"/>
    <w:bookmarkStart w:id="42" w:name="X831c9ef8b3e041532e4cdb22142efc2a5643dc6"/>
    <w:p>
      <w:pPr>
        <w:pStyle w:val="Heading2"/>
      </w:pPr>
      <w:r>
        <w:rPr>
          <w:rFonts w:ascii="Malgun Gothic" w:hAnsi="Malgun Gothic" w:eastAsia="Malgun Gothic" w:cs="Malgun Gothic"/>
        </w:rPr>
        <w:t xml:space="preserve">10. NEED RESEARCH (Codex 2차 리뷰 지적 — 후속 조사 필요)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현재 상태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후속 조사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NR1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사상-하단선(도시철도 5호선) 최신 공식 일정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완공/개통/사업기간 종료 표현 혼재 (2026.12 ~ 2028 상반기)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부산교통공사 공식 사업공고로 ① 토목 완공, ② 시운전 종료, ③ 영업 개통 일정 분리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NR2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HUG 주거비중 산정의 공식 기준 (호수/연면적/전용면적)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Gemini 리서치는 연면적 기준을 권고했으나 본 사업 적용 시 정확한 기준 미확정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HUG 기업금융센터 사전 협의로 본 사업의 주거비중 공식 산정값 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NR3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부산 비주거 상품별 2026년 분양률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사상구 오피스텔은 2025.05 데이터, 2026년 데이터 미확보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</w:rPr>
              <w:t xml:space="preserve">한국부동산원 / 부동산R114 최신 분기 보고서 후속 확인</w:t>
            </w:r>
          </w:p>
        </w:tc>
      </w:tr>
    </w:tbl>
    <w:p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Malgun Gothic" w:hAnsi="Malgun Gothic" w:eastAsia="Malgun Gothic" w:cs="Malgun Gothic"/>
          <w:b/>
          <w:bCs/>
        </w:rPr>
        <w:t xml:space="preserve">문서 출처 로그</w:t>
      </w:r>
    </w:p>
    <w:p>
      <w:pPr>
        <w:pStyle w:val="Compact"/>
        <w:numPr>
          <w:ilvl w:val="0"/>
          <w:numId w:val="1008"/>
        </w:numPr>
      </w:pPr>
      <w:r>
        <w:rPr>
          <w:rFonts w:ascii="Malgun Gothic" w:hAnsi="Malgun Gothic" w:eastAsia="Malgun Gothic" w:cs="Malgun Gothic"/>
        </w:rPr>
        <w:t xml:space="preserve">Gemini 리서치 ①: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rStyle w:val="VerbatimChar"/>
        </w:rPr>
        <w:t xml:space="preserve">.agents-dev/log/gemini-20260513-101423.log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(부산 PF 시장)</w:t>
      </w:r>
    </w:p>
    <w:p>
      <w:pPr>
        <w:pStyle w:val="Compact"/>
        <w:numPr>
          <w:ilvl w:val="0"/>
          <w:numId w:val="1008"/>
        </w:numPr>
      </w:pPr>
      <w:r>
        <w:rPr>
          <w:rFonts w:ascii="Malgun Gothic" w:hAnsi="Malgun Gothic" w:eastAsia="Malgun Gothic" w:cs="Malgun Gothic"/>
        </w:rPr>
        <w:t xml:space="preserve">Gemini 리서치 ②: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rStyle w:val="VerbatimChar"/>
        </w:rPr>
        <w:t xml:space="preserve">.agents-dev/log/gemini-20260513-101611.log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(사상재생사업)</w:t>
      </w:r>
    </w:p>
    <w:p>
      <w:pPr>
        <w:pStyle w:val="Compact"/>
        <w:numPr>
          <w:ilvl w:val="0"/>
          <w:numId w:val="1008"/>
        </w:numPr>
      </w:pPr>
      <w:r>
        <w:rPr>
          <w:rFonts w:ascii="Malgun Gothic" w:hAnsi="Malgun Gothic" w:eastAsia="Malgun Gothic" w:cs="Malgun Gothic"/>
        </w:rPr>
        <w:t xml:space="preserve">Gemini 리서치 ③: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rStyle w:val="VerbatimChar"/>
        </w:rPr>
        <w:t xml:space="preserve">.agents-dev/log/gemini-20260513-114456.log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(HUG 적격성)</w:t>
      </w:r>
    </w:p>
    <w:p>
      <w:pPr>
        <w:pStyle w:val="Compact"/>
        <w:numPr>
          <w:ilvl w:val="0"/>
          <w:numId w:val="1008"/>
        </w:numPr>
      </w:pPr>
      <w:r>
        <w:rPr>
          <w:rFonts w:ascii="Malgun Gothic" w:hAnsi="Malgun Gothic" w:eastAsia="Malgun Gothic" w:cs="Malgun Gothic"/>
        </w:rPr>
        <w:t xml:space="preserve">Gemini 리서치 ④: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rStyle w:val="VerbatimChar"/>
        </w:rPr>
        <w:t xml:space="preserve">.agents-dev/log/gemini-20260513-114657.log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(부산 비주거 상품별)</w:t>
      </w:r>
    </w:p>
    <w:p>
      <w:pPr>
        <w:pStyle w:val="Compact"/>
        <w:numPr>
          <w:ilvl w:val="0"/>
          <w:numId w:val="1008"/>
        </w:numPr>
      </w:pPr>
      <w:r>
        <w:rPr>
          <w:rFonts w:ascii="Malgun Gothic" w:hAnsi="Malgun Gothic" w:eastAsia="Malgun Gothic" w:cs="Malgun Gothic"/>
        </w:rPr>
        <w:t xml:space="preserve">Codex 리뷰 ①: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rStyle w:val="VerbatimChar"/>
        </w:rPr>
        <w:t xml:space="preserve">.agents-dev/log/codex-20260513-102000.log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(Verdict: NEEDS-FIX, Major 8건)</w:t>
      </w:r>
    </w:p>
    <w:p>
      <w:pPr>
        <w:pStyle w:val="Compact"/>
        <w:numPr>
          <w:ilvl w:val="0"/>
          <w:numId w:val="1008"/>
        </w:numPr>
      </w:pPr>
      <w:r>
        <w:rPr>
          <w:rFonts w:ascii="Malgun Gothic" w:hAnsi="Malgun Gothic" w:eastAsia="Malgun Gothic" w:cs="Malgun Gothic"/>
        </w:rPr>
        <w:t xml:space="preserve">Codex 리뷰 ②: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rStyle w:val="VerbatimChar"/>
        </w:rPr>
        <w:t xml:space="preserve">.agents-dev/log/codex-20260513-115159.log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(Verdict: NEEDS-FIX, Major 4건 + Minor 1건)</w:t>
      </w:r>
    </w:p>
    <w:p>
      <w:pPr>
        <w:pStyle w:val="Compact"/>
        <w:numPr>
          <w:ilvl w:val="0"/>
          <w:numId w:val="1008"/>
        </w:numPr>
      </w:pPr>
      <w:r>
        <w:rPr>
          <w:rFonts w:ascii="Malgun Gothic" w:hAnsi="Malgun Gothic" w:eastAsia="Malgun Gothic" w:cs="Malgun Gothic"/>
        </w:rPr>
        <w:t xml:space="preserve">원본 PDF ①: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rStyle w:val="VerbatimChar"/>
        </w:rPr>
        <w:t xml:space="preserve">251204-05-001(서부산종합개발).pdf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(하나감정평가법인, 2025.12.11)</w:t>
      </w:r>
    </w:p>
    <w:p>
      <w:pPr>
        <w:pStyle w:val="Compact"/>
        <w:numPr>
          <w:ilvl w:val="0"/>
          <w:numId w:val="1008"/>
        </w:numPr>
      </w:pPr>
      <w:r>
        <w:rPr>
          <w:rFonts w:ascii="Malgun Gothic" w:hAnsi="Malgun Gothic" w:eastAsia="Malgun Gothic" w:cs="Malgun Gothic"/>
        </w:rPr>
        <w:t xml:space="preserve">원본 PDF ②: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rStyle w:val="VerbatimChar"/>
        </w:rPr>
        <w:t xml:space="preserve">수지분석 최종본(25.01.23).pdf</w:t>
      </w:r>
    </w:p>
    <w:p>
      <w:pPr>
        <w:pStyle w:val="Compact"/>
        <w:numPr>
          <w:ilvl w:val="0"/>
          <w:numId w:val="1008"/>
        </w:numPr>
      </w:pPr>
      <w:r>
        <w:rPr>
          <w:rFonts w:ascii="Malgun Gothic" w:hAnsi="Malgun Gothic" w:eastAsia="Malgun Gothic" w:cs="Malgun Gothic"/>
        </w:rPr>
        <w:t xml:space="preserve">원본 PDF ③: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rStyle w:val="VerbatimChar"/>
        </w:rPr>
        <w:t xml:space="preserve">서부산 개발의 중심 사상스마트시티 복합비즈니스센터.pdf</w:t>
      </w:r>
    </w:p>
    <w:p>
      <w:pPr>
        <w:pStyle w:val="Compact"/>
        <w:numPr>
          <w:ilvl w:val="0"/>
          <w:numId w:val="1008"/>
        </w:numPr>
      </w:pPr>
      <w:r>
        <w:rPr>
          <w:rFonts w:ascii="Malgun Gothic" w:hAnsi="Malgun Gothic" w:eastAsia="Malgun Gothic" w:cs="Malgun Gothic"/>
        </w:rPr>
        <w:t xml:space="preserve">원본 PDF ④: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rStyle w:val="VerbatimChar"/>
        </w:rPr>
        <w:t xml:space="preserve">사상 기업지원복합센터 서류_25.02.13(1).pdf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</w:t>
      </w:r>
      <w:r>
        <w:rPr>
          <w:rFonts w:ascii="Malgun Gothic" w:hAnsi="Malgun Gothic" w:eastAsia="Malgun Gothic" w:cs="Malgun Gothic"/>
          <w:b/>
          <w:bCs/>
        </w:rPr>
        <w:t xml:space="preserve">환경 제약으로 미독해, 의사결정 보류 조건</w:t>
      </w:r>
      <w:r>
        <w:rPr>
          <w:rFonts w:ascii="Malgun Gothic" w:hAnsi="Malgun Gothic" w:eastAsia="Malgun Gothic" w:cs="Malgun Gothic"/>
        </w:rPr>
        <w:t xml:space="preserve">)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ascii="Malgun Gothic" w:hAnsi="Malgun Gothic" w:eastAsia="Malgun Gothic" w:cs="Malgun Gothic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algun Gothic" w:hAnsi="Malgun Gothic" w:eastAsia="Malgun Gothic" w:cs="Malgun Gothic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Malgun Gothic" w:hAnsi="Malgun Gothic" w:eastAsia="Malgun Gothic" w:cs="Malgun Gothic"/>
    </w:rPr>
  </w:style>
  <w:style w:customStyle="1" w:styleId="FirstParagraph" w:type="paragraph">
    <w:name w:val="First Paragraph"/>
    <w:basedOn w:val="BodyText"/>
    <w:next w:val="BodyText"/>
    <w:qFormat/>
    <w:rPr>
      <w:rFonts w:ascii="Malgun Gothic" w:hAnsi="Malgun Gothic" w:eastAsia="Malgun Gothic" w:cs="Malgun Gothic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algun Gothic" w:hAnsi="Malgun Gothic" w:eastAsia="Malgun Gothic" w:cs="Malgun Gothic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 w:ascii="Malgun Gothic" w:hAnsi="Malgun Gothic" w:eastAsia="Malgun Gothic" w:cs="Malgun Gothi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cstheme="majorBidi" w:ascii="Malgun Gothic" w:hAnsi="Malgun Gothic" w:eastAsia="Malgun Gothic" w:cs="Malgun Gothi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ascii="Malgun Gothic" w:hAnsi="Malgun Gothic" w:eastAsia="Malgun Gothic" w:cs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ascii="Malgun Gothic" w:hAnsi="Malgun Gothic" w:eastAsia="Malgun Gothic" w:cs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Malgun Gothic" w:hAnsi="Malgun Gothic" w:eastAsia="Malgun Gothic" w:cs="Malgun Gothic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Malgun Gothic" w:hAnsi="Malgun Gothic" w:eastAsia="Malgun Gothic" w:cs="Malgun Gothic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Malgun Gothic" w:hAnsi="Malgun Gothic" w:eastAsia="Malgun Gothic" w:cs="Malgun Gothic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Malgun Gothic" w:hAnsi="Malgun Gothic" w:eastAsia="Malgun Gothic" w:cs="Malgun Gothi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Malgun Gothic" w:hAnsi="Malgun Gothic" w:eastAsia="Malgun Gothic" w:cs="Malgun Gothic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cstheme="majorBidi" w:ascii="Malgun Gothic" w:hAnsi="Malgun Gothic" w:eastAsia="Malgun Gothic" w:cs="Malgun Gothic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cstheme="majorBidi" w:ascii="Malgun Gothic" w:hAnsi="Malgun Gothic" w:eastAsia="Malgun Gothic" w:cs="Malgun Gothic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ascii="Malgun Gothic" w:hAnsi="Malgun Gothic" w:eastAsia="Malgun Gothic" w:cs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ascii="Malgun Gothic" w:hAnsi="Malgun Gothic" w:eastAsia="Malgun Gothic" w:cs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ascii="Malgun Gothic" w:hAnsi="Malgun Gothic" w:eastAsia="Malgun Gothic" w:cs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ascii="Malgun Gothic" w:hAnsi="Malgun Gothic" w:eastAsia="Malgun Gothic" w:cs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ascii="Malgun Gothic" w:hAnsi="Malgun Gothic" w:eastAsia="Malgun Gothic" w:cs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ascii="Malgun Gothic" w:hAnsi="Malgun Gothic" w:eastAsia="Malgun Gothic" w:cs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ascii="Malgun Gothic" w:hAnsi="Malgun Gothic" w:eastAsia="Malgun Gothic" w:cs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cstheme="majorBidi" w:ascii="Malgun Gothic" w:hAnsi="Malgun Gothic" w:eastAsia="Malgun Gothic" w:cs="Malgun Gothic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cstheme="majorBidi" w:ascii="Malgun Gothic" w:hAnsi="Malgun Gothic" w:eastAsia="Malgun Gothic" w:cs="Malgun Gothic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ascii="Malgun Gothic" w:hAnsi="Malgun Gothic" w:eastAsia="Malgun Gothic" w:cs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ascii="Malgun Gothic" w:hAnsi="Malgun Gothic" w:eastAsia="Malgun Gothic" w:cs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ascii="Malgun Gothic" w:hAnsi="Malgun Gothic" w:eastAsia="Malgun Gothic" w:cs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ascii="Malgun Gothic" w:hAnsi="Malgun Gothic" w:eastAsia="Malgun Gothic" w:cs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ascii="Malgun Gothic" w:hAnsi="Malgun Gothic" w:eastAsia="Malgun Gothic" w:cs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ascii="Malgun Gothic" w:hAnsi="Malgun Gothic" w:eastAsia="Malgun Gothic" w:cs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ascii="Malgun Gothic" w:hAnsi="Malgun Gothic" w:eastAsia="Malgun Gothic" w:cs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algun Gothic" w:hAnsi="Malgun Gothic" w:eastAsia="Malgun Gothic" w:cs="Malgun Gothi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algun Gothic" w:hAnsi="Malgun Gothic" w:eastAsia="Malgun Gothic" w:cs="Malgun Gothic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Malgun Gothic" w:hAnsi="Malgun Gothic" w:eastAsia="Malgun Gothic" w:cs="Malgun Gothic"/>
    </w:rPr>
  </w:style>
  <w:style w:default="1" w:styleId="DefaultParagraphFont" w:type="character">
    <w:name w:val="Default Paragraph Font"/>
    <w:semiHidden/>
    <w:unhideWhenUsed/>
    <w:rPr>
      <w:rFonts w:ascii="Malgun Gothic" w:hAnsi="Malgun Gothic" w:eastAsia="Malgun Gothic" w:cs="Malgun Gothic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Malgun Gothic" w:hAnsi="Malgun Gothic" w:eastAsia="Malgun Gothic" w:cs="Malgun Gothic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algun Gothic" w:hAnsi="Malgun Gothic" w:eastAsia="Malgun Gothic" w:cs="Malgun Gothic"/>
      <w:b/>
    </w:rPr>
  </w:style>
  <w:style w:customStyle="1" w:styleId="Definition" w:type="paragraph">
    <w:name w:val="Definition"/>
    <w:basedOn w:val="Normal"/>
    <w:rPr>
      <w:rFonts w:ascii="Malgun Gothic" w:hAnsi="Malgun Gothic" w:eastAsia="Malgun Gothic" w:cs="Malgun Gothic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algun Gothic" w:hAnsi="Malgun Gothic" w:eastAsia="Malgun Gothic" w:cs="Malgun Gothic"/>
      <w:i/>
    </w:rPr>
  </w:style>
  <w:style w:customStyle="1" w:styleId="TableCaption" w:type="paragraph">
    <w:name w:val="Table Caption"/>
    <w:basedOn w:val="Caption"/>
    <w:pPr>
      <w:keepNext/>
    </w:pPr>
    <w:rPr>
      <w:rFonts w:ascii="Malgun Gothic" w:hAnsi="Malgun Gothic" w:eastAsia="Malgun Gothic" w:cs="Malgun Gothic"/>
    </w:rPr>
  </w:style>
  <w:style w:customStyle="1" w:styleId="ImageCaption" w:type="paragraph">
    <w:name w:val="Image Caption"/>
    <w:basedOn w:val="Caption"/>
    <w:rPr>
      <w:rFonts w:ascii="Malgun Gothic" w:hAnsi="Malgun Gothic" w:eastAsia="Malgun Gothic" w:cs="Malgun Gothic"/>
    </w:rPr>
  </w:style>
  <w:style w:customStyle="1" w:styleId="Figure" w:type="paragraph">
    <w:name w:val="Figure"/>
    <w:basedOn w:val="Normal"/>
    <w:rPr>
      <w:rFonts w:ascii="Malgun Gothic" w:hAnsi="Malgun Gothic" w:eastAsia="Malgun Gothic" w:cs="Malgun Gothic"/>
    </w:rPr>
  </w:style>
  <w:style w:customStyle="1" w:styleId="CaptionedFigure" w:type="paragraph">
    <w:name w:val="Captioned Figure"/>
    <w:basedOn w:val="Figure"/>
    <w:pPr>
      <w:keepNext/>
    </w:pPr>
    <w:rPr>
      <w:rFonts w:ascii="Malgun Gothic" w:hAnsi="Malgun Gothic" w:eastAsia="Malgun Gothic" w:cs="Malgun Gothic"/>
    </w:rPr>
  </w:style>
  <w:style w:customStyle="1" w:styleId="BodyTextChar" w:type="character">
    <w:name w:val="Body Text Char"/>
    <w:basedOn w:val="DefaultParagraphFont"/>
    <w:link w:val="BodyText"/>
    <w:rPr>
      <w:rFonts w:ascii="Malgun Gothic" w:hAnsi="Malgun Gothic" w:eastAsia="Malgun Gothic" w:cs="Malgun Gothic"/>
    </w:rPr>
  </w:style>
  <w:style w:customStyle="1" w:styleId="VerbatimChar" w:type="character">
    <w:name w:val="Verbatim Char"/>
    <w:basedOn w:val="BodyTextChar"/>
    <w:rPr>
      <w:rFonts w:ascii="Malgun Gothic" w:hAnsi="Malgun Gothic" w:eastAsia="Malgun Gothic" w:cs="Malgun Gothic"/>
      <w:sz w:val="22"/>
    </w:rPr>
  </w:style>
  <w:style w:customStyle="1" w:styleId="SectionNumber" w:type="character">
    <w:name w:val="Section Number"/>
    <w:basedOn w:val="BodyTextChar"/>
    <w:rPr>
      <w:rFonts w:ascii="Malgun Gothic" w:hAnsi="Malgun Gothic" w:eastAsia="Malgun Gothic" w:cs="Malgun Gothic"/>
    </w:rPr>
  </w:style>
  <w:style w:styleId="FootnoteReference" w:type="character">
    <w:name w:val="Footnote Reference"/>
    <w:basedOn w:val="BodyTextChar"/>
    <w:rPr>
      <w:rFonts w:ascii="Malgun Gothic" w:hAnsi="Malgun Gothic" w:eastAsia="Malgun Gothic" w:cs="Malgun Gothic"/>
      <w:vertAlign w:val="superscript"/>
    </w:rPr>
  </w:style>
  <w:style w:styleId="Hyperlink" w:type="character">
    <w:name w:val="Hyperlink"/>
    <w:basedOn w:val="BodyTextChar"/>
    <w:rPr>
      <w:rFonts w:ascii="Malgun Gothic" w:hAnsi="Malgun Gothic" w:eastAsia="Malgun Gothic" w:cs="Malgun Gothi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Malgun Gothic" w:hAnsi="Malgun Gothic" w:eastAsia="Malgun Gothic" w:cs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algun Gothic" w:hAnsi="Malgun Gothic" w:eastAsia="Malgun Gothic" w:cs="Malgun Gothic"/>
    </w:rPr>
  </w:style>
  <w:style w:type="character" w:customStyle="1" w:styleId="KeywordTok">
    <w:name w:val="KeywordTok"/>
    <w:basedOn w:val="VerbatimChar"/>
    <w:rPr>
      <w:rFonts w:ascii="Malgun Gothic" w:hAnsi="Malgun Gothic" w:eastAsia="Malgun Gothic" w:cs="Malgun Gothic"/>
      <w:b/>
      <w:color w:val="007020"/>
    </w:rPr>
  </w:style>
  <w:style w:type="character" w:customStyle="1" w:styleId="DataTypeTok">
    <w:name w:val="DataTypeTok"/>
    <w:basedOn w:val="VerbatimChar"/>
    <w:rPr>
      <w:rFonts w:ascii="Malgun Gothic" w:hAnsi="Malgun Gothic" w:eastAsia="Malgun Gothic" w:cs="Malgun Gothic"/>
      <w:color w:val="902000"/>
    </w:rPr>
  </w:style>
  <w:style w:type="character" w:customStyle="1" w:styleId="DecValTok">
    <w:name w:val="DecValTok"/>
    <w:basedOn w:val="VerbatimChar"/>
    <w:rPr>
      <w:rFonts w:ascii="Malgun Gothic" w:hAnsi="Malgun Gothic" w:eastAsia="Malgun Gothic" w:cs="Malgun Gothic"/>
      <w:color w:val="40a070"/>
    </w:rPr>
  </w:style>
  <w:style w:type="character" w:customStyle="1" w:styleId="BaseNTok">
    <w:name w:val="BaseNTok"/>
    <w:basedOn w:val="VerbatimChar"/>
    <w:rPr>
      <w:rFonts w:ascii="Malgun Gothic" w:hAnsi="Malgun Gothic" w:eastAsia="Malgun Gothic" w:cs="Malgun Gothic"/>
      <w:color w:val="40a070"/>
    </w:rPr>
  </w:style>
  <w:style w:type="character" w:customStyle="1" w:styleId="FloatTok">
    <w:name w:val="FloatTok"/>
    <w:basedOn w:val="VerbatimChar"/>
    <w:rPr>
      <w:rFonts w:ascii="Malgun Gothic" w:hAnsi="Malgun Gothic" w:eastAsia="Malgun Gothic" w:cs="Malgun Gothic"/>
      <w:color w:val="40a070"/>
    </w:rPr>
  </w:style>
  <w:style w:type="character" w:customStyle="1" w:styleId="ConstantTok">
    <w:name w:val="ConstantTok"/>
    <w:basedOn w:val="VerbatimChar"/>
    <w:rPr>
      <w:rFonts w:ascii="Malgun Gothic" w:hAnsi="Malgun Gothic" w:eastAsia="Malgun Gothic" w:cs="Malgun Gothic"/>
      <w:color w:val="880000"/>
    </w:rPr>
  </w:style>
  <w:style w:type="character" w:customStyle="1" w:styleId="CharTok">
    <w:name w:val="CharTok"/>
    <w:basedOn w:val="VerbatimChar"/>
    <w:rPr>
      <w:rFonts w:ascii="Malgun Gothic" w:hAnsi="Malgun Gothic" w:eastAsia="Malgun Gothic" w:cs="Malgun Gothic"/>
      <w:color w:val="4070a0"/>
    </w:rPr>
  </w:style>
  <w:style w:type="character" w:customStyle="1" w:styleId="SpecialCharTok">
    <w:name w:val="SpecialCharTok"/>
    <w:basedOn w:val="VerbatimChar"/>
    <w:rPr>
      <w:rFonts w:ascii="Malgun Gothic" w:hAnsi="Malgun Gothic" w:eastAsia="Malgun Gothic" w:cs="Malgun Gothic"/>
      <w:color w:val="4070a0"/>
    </w:rPr>
  </w:style>
  <w:style w:type="character" w:customStyle="1" w:styleId="StringTok">
    <w:name w:val="StringTok"/>
    <w:basedOn w:val="VerbatimChar"/>
    <w:rPr>
      <w:rFonts w:ascii="Malgun Gothic" w:hAnsi="Malgun Gothic" w:eastAsia="Malgun Gothic" w:cs="Malgun Gothic"/>
      <w:color w:val="4070a0"/>
    </w:rPr>
  </w:style>
  <w:style w:type="character" w:customStyle="1" w:styleId="VerbatimStringTok">
    <w:name w:val="VerbatimStringTok"/>
    <w:basedOn w:val="VerbatimChar"/>
    <w:rPr>
      <w:rFonts w:ascii="Malgun Gothic" w:hAnsi="Malgun Gothic" w:eastAsia="Malgun Gothic" w:cs="Malgun Gothic"/>
      <w:color w:val="4070a0"/>
    </w:rPr>
  </w:style>
  <w:style w:type="character" w:customStyle="1" w:styleId="SpecialStringTok">
    <w:name w:val="SpecialStringTok"/>
    <w:basedOn w:val="VerbatimChar"/>
    <w:rPr>
      <w:rFonts w:ascii="Malgun Gothic" w:hAnsi="Malgun Gothic" w:eastAsia="Malgun Gothic" w:cs="Malgun Gothic"/>
      <w:color w:val="bb6688"/>
    </w:rPr>
  </w:style>
  <w:style w:type="character" w:customStyle="1" w:styleId="ImportTok">
    <w:name w:val="ImportTok"/>
    <w:basedOn w:val="VerbatimChar"/>
    <w:rPr>
      <w:rFonts w:ascii="Malgun Gothic" w:hAnsi="Malgun Gothic" w:eastAsia="Malgun Gothic" w:cs="Malgun Gothic"/>
      <w:b/>
      <w:color w:val="008000"/>
    </w:rPr>
  </w:style>
  <w:style w:type="character" w:customStyle="1" w:styleId="CommentTok">
    <w:name w:val="CommentTok"/>
    <w:basedOn w:val="VerbatimChar"/>
    <w:rPr>
      <w:rFonts w:ascii="Malgun Gothic" w:hAnsi="Malgun Gothic" w:eastAsia="Malgun Gothic" w:cs="Malgun Gothic"/>
      <w:i/>
      <w:color w:val="60a0b0"/>
    </w:rPr>
  </w:style>
  <w:style w:type="character" w:customStyle="1" w:styleId="DocumentationTok">
    <w:name w:val="DocumentationTok"/>
    <w:basedOn w:val="VerbatimChar"/>
    <w:rPr>
      <w:rFonts w:ascii="Malgun Gothic" w:hAnsi="Malgun Gothic" w:eastAsia="Malgun Gothic" w:cs="Malgun Gothic"/>
      <w:i/>
      <w:color w:val="ba2121"/>
    </w:rPr>
  </w:style>
  <w:style w:type="character" w:customStyle="1" w:styleId="AnnotationTok">
    <w:name w:val="AnnotationTok"/>
    <w:basedOn w:val="VerbatimChar"/>
    <w:rPr>
      <w:rFonts w:ascii="Malgun Gothic" w:hAnsi="Malgun Gothic" w:eastAsia="Malgun Gothic" w:cs="Malgun Gothic"/>
      <w:b/>
      <w:i/>
      <w:color w:val="60a0b0"/>
    </w:rPr>
  </w:style>
  <w:style w:type="character" w:customStyle="1" w:styleId="CommentVarTok">
    <w:name w:val="CommentVarTok"/>
    <w:basedOn w:val="VerbatimChar"/>
    <w:rPr>
      <w:rFonts w:ascii="Malgun Gothic" w:hAnsi="Malgun Gothic" w:eastAsia="Malgun Gothic" w:cs="Malgun Gothic"/>
      <w:b/>
      <w:i/>
      <w:color w:val="60a0b0"/>
    </w:rPr>
  </w:style>
  <w:style w:type="character" w:customStyle="1" w:styleId="OtherTok">
    <w:name w:val="OtherTok"/>
    <w:basedOn w:val="VerbatimChar"/>
    <w:rPr>
      <w:rFonts w:ascii="Malgun Gothic" w:hAnsi="Malgun Gothic" w:eastAsia="Malgun Gothic" w:cs="Malgun Gothic"/>
      <w:color w:val="007020"/>
    </w:rPr>
  </w:style>
  <w:style w:type="character" w:customStyle="1" w:styleId="FunctionTok">
    <w:name w:val="FunctionTok"/>
    <w:basedOn w:val="VerbatimChar"/>
    <w:rPr>
      <w:rFonts w:ascii="Malgun Gothic" w:hAnsi="Malgun Gothic" w:eastAsia="Malgun Gothic" w:cs="Malgun Gothic"/>
      <w:color w:val="06287e"/>
    </w:rPr>
  </w:style>
  <w:style w:type="character" w:customStyle="1" w:styleId="VariableTok">
    <w:name w:val="VariableTok"/>
    <w:basedOn w:val="VerbatimChar"/>
    <w:rPr>
      <w:rFonts w:ascii="Malgun Gothic" w:hAnsi="Malgun Gothic" w:eastAsia="Malgun Gothic" w:cs="Malgun Gothic"/>
      <w:color w:val="19177c"/>
    </w:rPr>
  </w:style>
  <w:style w:type="character" w:customStyle="1" w:styleId="ControlFlowTok">
    <w:name w:val="ControlFlowTok"/>
    <w:basedOn w:val="VerbatimChar"/>
    <w:rPr>
      <w:rFonts w:ascii="Malgun Gothic" w:hAnsi="Malgun Gothic" w:eastAsia="Malgun Gothic" w:cs="Malgun Gothic"/>
      <w:b/>
      <w:color w:val="007020"/>
    </w:rPr>
  </w:style>
  <w:style w:type="character" w:customStyle="1" w:styleId="OperatorTok">
    <w:name w:val="OperatorTok"/>
    <w:basedOn w:val="VerbatimChar"/>
    <w:rPr>
      <w:rFonts w:ascii="Malgun Gothic" w:hAnsi="Malgun Gothic" w:eastAsia="Malgun Gothic" w:cs="Malgun Gothic"/>
      <w:color w:val="666666"/>
    </w:rPr>
  </w:style>
  <w:style w:type="character" w:customStyle="1" w:styleId="BuiltInTok">
    <w:name w:val="BuiltInTok"/>
    <w:basedOn w:val="VerbatimChar"/>
    <w:rPr>
      <w:rFonts w:ascii="Malgun Gothic" w:hAnsi="Malgun Gothic" w:eastAsia="Malgun Gothic" w:cs="Malgun Gothic"/>
      <w:color w:val="008000"/>
    </w:rPr>
  </w:style>
  <w:style w:type="character" w:customStyle="1" w:styleId="ExtensionTok">
    <w:name w:val="ExtensionTok"/>
    <w:basedOn w:val="VerbatimChar"/>
    <w:rPr>
      <w:rFonts w:ascii="Malgun Gothic" w:hAnsi="Malgun Gothic" w:eastAsia="Malgun Gothic" w:cs="Malgun Gothic"/>
    </w:rPr>
  </w:style>
  <w:style w:type="character" w:customStyle="1" w:styleId="PreprocessorTok">
    <w:name w:val="PreprocessorTok"/>
    <w:basedOn w:val="VerbatimChar"/>
    <w:rPr>
      <w:rFonts w:ascii="Malgun Gothic" w:hAnsi="Malgun Gothic" w:eastAsia="Malgun Gothic" w:cs="Malgun Gothic"/>
      <w:color w:val="bc7a00"/>
    </w:rPr>
  </w:style>
  <w:style w:type="character" w:customStyle="1" w:styleId="AttributeTok">
    <w:name w:val="AttributeTok"/>
    <w:basedOn w:val="VerbatimChar"/>
    <w:rPr>
      <w:rFonts w:ascii="Malgun Gothic" w:hAnsi="Malgun Gothic" w:eastAsia="Malgun Gothic" w:cs="Malgun Gothic"/>
      <w:color w:val="7d9029"/>
    </w:rPr>
  </w:style>
  <w:style w:type="character" w:customStyle="1" w:styleId="RegionMarkerTok">
    <w:name w:val="RegionMarkerTok"/>
    <w:basedOn w:val="VerbatimChar"/>
    <w:rPr>
      <w:rFonts w:ascii="Malgun Gothic" w:hAnsi="Malgun Gothic" w:eastAsia="Malgun Gothic" w:cs="Malgun Gothic"/>
    </w:rPr>
  </w:style>
  <w:style w:type="character" w:customStyle="1" w:styleId="InformationTok">
    <w:name w:val="InformationTok"/>
    <w:basedOn w:val="VerbatimChar"/>
    <w:rPr>
      <w:rFonts w:ascii="Malgun Gothic" w:hAnsi="Malgun Gothic" w:eastAsia="Malgun Gothic" w:cs="Malgun Gothic"/>
      <w:b/>
      <w:i/>
      <w:color w:val="60a0b0"/>
    </w:rPr>
  </w:style>
  <w:style w:type="character" w:customStyle="1" w:styleId="WarningTok">
    <w:name w:val="WarningTok"/>
    <w:basedOn w:val="VerbatimChar"/>
    <w:rPr>
      <w:rFonts w:ascii="Malgun Gothic" w:hAnsi="Malgun Gothic" w:eastAsia="Malgun Gothic" w:cs="Malgun Gothic"/>
      <w:b/>
      <w:i/>
      <w:color w:val="60a0b0"/>
    </w:rPr>
  </w:style>
  <w:style w:type="character" w:customStyle="1" w:styleId="AlertTok">
    <w:name w:val="AlertTok"/>
    <w:basedOn w:val="VerbatimChar"/>
    <w:rPr>
      <w:rFonts w:ascii="Malgun Gothic" w:hAnsi="Malgun Gothic" w:eastAsia="Malgun Gothic" w:cs="Malgun Gothic"/>
      <w:b/>
      <w:color w:val="ff0000"/>
    </w:rPr>
  </w:style>
  <w:style w:type="character" w:customStyle="1" w:styleId="ErrorTok">
    <w:name w:val="ErrorTok"/>
    <w:basedOn w:val="VerbatimChar"/>
    <w:rPr>
      <w:rFonts w:ascii="Malgun Gothic" w:hAnsi="Malgun Gothic" w:eastAsia="Malgun Gothic" w:cs="Malgun Gothic"/>
      <w:b/>
      <w:color w:val="ff0000"/>
    </w:rPr>
  </w:style>
  <w:style w:type="character" w:customStyle="1" w:styleId="NormalTok">
    <w:name w:val="NormalTok"/>
    <w:basedOn w:val="VerbatimChar"/>
    <w:rPr>
      <w:rFonts w:ascii="Malgun Gothic" w:hAnsi="Malgun Gothic" w:eastAsia="Malgun Gothic" w:cs="Malgun Gothi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2026-05-13T05:07:34Z</dcterms:created>
  <dcterms:modified xsi:type="dcterms:W3CDTF">2026-05-13T05:07:34Z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