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사상스마트시티-복합비즈니스센터"/>
    <w:p>
      <w:pPr>
        <w:pStyle w:val="Heading1"/>
      </w:pPr>
      <w:r>
        <w:rPr>
          <w:rFonts w:ascii="Malgun Gothic" w:hAnsi="Malgun Gothic" w:eastAsia="Malgun Gothic" w:cs="Malgun Gothic"/>
        </w:rPr>
        <w:t xml:space="preserve">사상스마트시티 복합비즈니스센터</w:t>
      </w:r>
    </w:p>
    <w:bookmarkEnd w:id="9"/>
    <w:bookmarkStart w:id="52" w:name="지분투자-조건-검토보고서-v10"/>
    <w:p>
      <w:pPr>
        <w:pStyle w:val="Heading1"/>
      </w:pPr>
      <w:r>
        <w:rPr>
          <w:rFonts w:ascii="Malgun Gothic" w:hAnsi="Malgun Gothic" w:eastAsia="Malgun Gothic" w:cs="Malgun Gothic"/>
        </w:rPr>
        <w:t xml:space="preserve">지분투자 조건 검토보고서 v1.0</w:t>
      </w:r>
    </w:p>
    <w:p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항목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문서 번호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IC-SASANG-2026-001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작성일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2026-05-16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버전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v1.0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기준 보고서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사상스마트시티_복합비즈니스센터_투자타당성_평가보고서 v3.1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분석 목적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투자자(검토자) 관점의 지분투자 조건 검토 및 위험 평가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보안 등급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기밀 — 투자자 한정 배포</w:t>
            </w:r>
          </w:p>
        </w:tc>
      </w:tr>
    </w:tbl>
    <w:p>
      <w:pPr>
        <w:pStyle w:val="BlockText"/>
      </w:pPr>
      <w:r>
        <w:rPr>
          <w:rFonts w:ascii="Malgun Gothic" w:hAnsi="Malgun Gothic" w:eastAsia="Malgun Gothic" w:cs="Malgun Gothic"/>
          <w:b/>
          <w:bCs/>
        </w:rPr>
        <w:t xml:space="preserve">주의: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본 보고서는 투자자의 의사결정을 지원하기 위한 분석 자료이며, 투자 권유 또는 보증이 아닙니다. 최종 투자 결정 전 반드시 법무·회계·PF 전문가의 독립적 실사를 수행하십시오.</w:t>
      </w:r>
    </w:p>
    <w:p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Start w:id="10" w:name="목차"/>
    <w:p>
      <w:pPr>
        <w:pStyle w:val="Heading2"/>
      </w:pPr>
      <w:r>
        <w:rPr>
          <w:rFonts w:ascii="Malgun Gothic" w:hAnsi="Malgun Gothic" w:eastAsia="Malgun Gothic" w:cs="Malgun Gothic"/>
        </w:rP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56a192b7913b04c54574d18c28d46e6395428ab">
        <w:r>
          <w:rPr>
            <w:rStyle w:val="Hyperlink"/>
          </w:rPr>
          <w:t xml:space="preserve">투자 조건 요약</w:t>
        </w:r>
      </w:hyperlink>
    </w:p>
    <w:p>
      <w:pPr>
        <w:pStyle w:val="Compact"/>
        <w:numPr>
          <w:ilvl w:val="0"/>
          <w:numId w:val="1001"/>
        </w:numPr>
      </w:pPr>
      <w:hyperlink w:anchor="Xa4b9237bacccdf19c0760cab7aec4a8359010b0">
        <w:r>
          <w:rPr>
            <w:rStyle w:val="Hyperlink"/>
          </w:rPr>
          <w:t xml:space="preserve">투자 구조 선행 확인 사항</w:t>
        </w:r>
      </w:hyperlink>
    </w:p>
    <w:p>
      <w:pPr>
        <w:pStyle w:val="Compact"/>
        <w:numPr>
          <w:ilvl w:val="0"/>
          <w:numId w:val="1001"/>
        </w:numPr>
      </w:pPr>
      <w:hyperlink w:anchor="X7de68daecd823babbb58edb1c8e14d7106e83bb">
        <w:r>
          <w:rPr>
            <w:rStyle w:val="Hyperlink"/>
          </w:rPr>
          <w:t xml:space="preserve">상대방 수익 주장 800억 신뢰도 분석</w:t>
        </w:r>
      </w:hyperlink>
    </w:p>
    <w:p>
      <w:pPr>
        <w:pStyle w:val="Compact"/>
        <w:numPr>
          <w:ilvl w:val="0"/>
          <w:numId w:val="1001"/>
        </w:numPr>
      </w:pPr>
      <w:hyperlink w:anchor="Xb6453892473a467d07372d45eb05abc2031647a">
        <w:r>
          <w:rPr>
            <w:rStyle w:val="Hyperlink"/>
          </w:rPr>
          <w:t xml:space="preserve">기대 수익 시나리오 분석</w:t>
        </w:r>
      </w:hyperlink>
    </w:p>
    <w:p>
      <w:pPr>
        <w:pStyle w:val="Compact"/>
        <w:numPr>
          <w:ilvl w:val="0"/>
          <w:numId w:val="1001"/>
        </w:numPr>
      </w:pPr>
      <w:hyperlink w:anchor="Xc3478d69a3c81fa62e60f5c3696165a4e5e6ac4">
        <w:r>
          <w:rPr>
            <w:rStyle w:val="Hyperlink"/>
          </w:rPr>
          <w:t xml:space="preserve">자본 구조 공정성 평가</w:t>
        </w:r>
      </w:hyperlink>
    </w:p>
    <w:p>
      <w:pPr>
        <w:pStyle w:val="Compact"/>
        <w:numPr>
          <w:ilvl w:val="0"/>
          <w:numId w:val="1001"/>
        </w:numPr>
      </w:pPr>
      <w:hyperlink w:anchor="X1dfd96eea8cc2b62785275bca38ac261256e278">
        <w:r>
          <w:rPr>
            <w:rStyle w:val="Hyperlink"/>
          </w:rPr>
          <w:t xml:space="preserve">리스크 체계 분류</w:t>
        </w:r>
      </w:hyperlink>
    </w:p>
    <w:p>
      <w:pPr>
        <w:pStyle w:val="Compact"/>
        <w:numPr>
          <w:ilvl w:val="0"/>
          <w:numId w:val="1001"/>
        </w:numPr>
      </w:pPr>
      <w:hyperlink w:anchor="X02ba3cda1883801594b6e1b452790cc53948fda">
        <w:r>
          <w:rPr>
            <w:rStyle w:val="Hyperlink"/>
          </w:rPr>
          <w:t xml:space="preserve">투자 전 필수 확인 과제 7선</w:t>
        </w:r>
      </w:hyperlink>
    </w:p>
    <w:p>
      <w:pPr>
        <w:pStyle w:val="Compact"/>
        <w:numPr>
          <w:ilvl w:val="0"/>
          <w:numId w:val="1001"/>
        </w:numPr>
      </w:pPr>
      <w:hyperlink w:anchor="Xe5dbbcea5ce7e2988b8c69bcfdfde8904aabc1f">
        <w:r>
          <w:rPr>
            <w:rStyle w:val="Hyperlink"/>
          </w:rPr>
          <w:t xml:space="preserve">종합 의견 및 권고</w:t>
        </w:r>
      </w:hyperlink>
    </w:p>
    <w:p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0"/>
    <w:bookmarkStart w:id="13" w:name="X05ff5ee29ca964e927a79ca542169b54b61c9a0"/>
    <w:p>
      <w:pPr>
        <w:pStyle w:val="Heading2"/>
      </w:pPr>
      <w:r>
        <w:rPr>
          <w:rFonts w:ascii="Malgun Gothic" w:hAnsi="Malgun Gothic" w:eastAsia="Malgun Gothic" w:cs="Malgun Gothic"/>
        </w:rPr>
        <w:t xml:space="preserve">1. 투자 조건 요약 {#1}</w:t>
      </w:r>
    </w:p>
    <w:bookmarkStart w:id="11" w:name="Xd97c3e03bf746db98662e350e6a47675d4432e4"/>
    <w:p>
      <w:pPr>
        <w:pStyle w:val="Heading3"/>
      </w:pPr>
      <w:r>
        <w:rPr>
          <w:rFonts w:ascii="Malgun Gothic" w:hAnsi="Malgun Gothic" w:eastAsia="Malgun Gothic" w:cs="Malgun Gothic"/>
        </w:rPr>
        <w:t xml:space="preserve">1-1. 사업 기본 정보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항목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사업명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서부산 사상스마트시티 복합비즈니스센터 조성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소재지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부산광역시 사상구 학장동 230-1 일대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주요 용도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업무시설(오피스) + 오피스텔 + 근린생활시설(상가)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대지면적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약 4,700㎡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연면적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72,910.84㎡ (약 22,055평)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총 분양수입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3,240.89억원 (수지분석 기준)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총 사업비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2,532.87억원 (수지분석 기준)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Base case 사업수지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708.02억원 (21.85%)</w:t>
            </w:r>
          </w:p>
        </w:tc>
      </w:tr>
    </w:tbl>
    <w:bookmarkEnd w:id="11"/>
    <w:bookmarkStart w:id="12" w:name="Xcd0d984979d900ac2ee2ae8e531ca0e0834c271"/>
    <w:p>
      <w:pPr>
        <w:pStyle w:val="Heading3"/>
      </w:pPr>
      <w:r>
        <w:rPr>
          <w:rFonts w:ascii="Malgun Gothic" w:hAnsi="Malgun Gothic" w:eastAsia="Malgun Gothic" w:cs="Malgun Gothic"/>
        </w:rPr>
        <w:t xml:space="preserve">1-2. 검토 대상 투자 조건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항목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상대방 제시 조건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투자 금액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300억원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취득 지분율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49%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수익 배분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전체 사업이익의 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원금 + 이익 수취 시점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공사 완료 시점 (약 3년 6개월 후 예상)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지급 주체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신탁회사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상대방 주장 전체 수익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800억원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상대방 주장 분양 완료 시점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1년 이내</w:t>
            </w:r>
          </w:p>
        </w:tc>
      </w:tr>
    </w:tbl>
    <w:p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2"/>
    <w:bookmarkEnd w:id="13"/>
    <w:bookmarkStart w:id="16" w:name="Xb2c7fbc7cb0e59002fc185136cc69d85dcbedb0"/>
    <w:p>
      <w:pPr>
        <w:pStyle w:val="Heading2"/>
      </w:pPr>
      <w:r>
        <w:rPr>
          <w:rFonts w:ascii="Malgun Gothic" w:hAnsi="Malgun Gothic" w:eastAsia="Malgun Gothic" w:cs="Malgun Gothic"/>
        </w:rPr>
        <w:t xml:space="preserve">2. 투자 구조 선행 확인 사항 {#2}</w:t>
      </w:r>
    </w:p>
    <w:bookmarkStart w:id="14" w:name="Xaf802519b27287aa034d427398de7ce9dc25936"/>
    <w:p>
      <w:pPr>
        <w:pStyle w:val="Heading3"/>
      </w:pPr>
      <w:r>
        <w:rPr>
          <w:rFonts w:ascii="Malgun Gothic" w:hAnsi="Malgun Gothic" w:eastAsia="Malgun Gothic" w:cs="Malgun Gothic"/>
        </w:rPr>
        <w:t xml:space="preserve">2-1. 300억의 자금 흐름 — 반드시 계약 전 확인</w:t>
      </w:r>
    </w:p>
    <w:p>
      <w:pPr>
        <w:pStyle w:val="FirstParagraph"/>
      </w:pPr>
      <w:r>
        <w:rPr>
          <w:rFonts w:ascii="Malgun Gothic" w:hAnsi="Malgun Gothic" w:eastAsia="Malgun Gothic" w:cs="Malgun Gothic"/>
        </w:rPr>
        <w:t xml:space="preserve">분석 전 가장 먼저 파악해야 할 사항입니다. 300억이 어디로 투입되느냐에 따라 리스크의 성격이 완전히 달라집니다.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구조 설명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위험 수준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A. 프로젝트 추가 에쿼티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300억이 사업비에 투입되고 투자자가 지분 취득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중간 — 사업 성패와 직결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B. 기존 투자자 지분 매입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기존 투자자가 300억을 수취하고 49% 지분을 양도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고위험</w:t>
            </w:r>
            <w:r>
              <w:rPr>
                <w:rFonts w:ascii="Malgun Gothic" w:hAnsi="Malgun Gothic" w:eastAsia="Malgun Gothic" w:cs="Malgun Gothic"/>
              </w:rPr>
              <w:t xml:space="preserve"> </w:t>
            </w:r>
            <w:r>
              <w:rPr>
                <w:rFonts w:ascii="Malgun Gothic" w:hAnsi="Malgun Gothic" w:eastAsia="Malgun Gothic" w:cs="Malgun Gothic"/>
              </w:rPr>
              <w:t xml:space="preserve">— 기존 투자자가 리스크를 매각하는 구조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C. 대여금 형태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사실상 무담보·후순위 대출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매우 고위험</w:t>
            </w:r>
            <w:r>
              <w:rPr>
                <w:rFonts w:ascii="Malgun Gothic" w:hAnsi="Malgun Gothic" w:eastAsia="Malgun Gothic" w:cs="Malgun Gothic"/>
              </w:rPr>
              <w:t xml:space="preserve"> </w:t>
            </w:r>
            <w:r>
              <w:rPr>
                <w:rFonts w:ascii="Malgun Gothic" w:hAnsi="Malgun Gothic" w:eastAsia="Malgun Gothic" w:cs="Malgun Gothic"/>
              </w:rPr>
              <w:t xml:space="preserve">— 에쿼티 보호 없음</w:t>
            </w:r>
          </w:p>
        </w:tc>
      </w:tr>
    </w:tbl>
    <w:p>
      <w:pPr>
        <w:pStyle w:val="BlockText"/>
      </w:pPr>
      <w:r>
        <w:rPr>
          <w:rFonts w:ascii="Malgun Gothic" w:hAnsi="Malgun Gothic" w:eastAsia="Malgun Gothic" w:cs="Malgun Gothic"/>
          <w:b/>
          <w:bCs/>
        </w:rPr>
        <w:t xml:space="preserve">시나리오 B가 가장 흔히 발생하는 투자 함정입니다.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기존 투자자가 사업 초기 위험을 감수하며 진행하다가 어느 시점에 지분을 프리미엄에 매각하는 구조입니다. 계약서에 "지분 양수도" 문구가 있으면 시나리오 B에 해당합니다.</w:t>
      </w:r>
    </w:p>
    <w:bookmarkEnd w:id="14"/>
    <w:bookmarkStart w:id="15" w:name="X629560492ee054bff1ef0b82b6ace0f35e16163"/>
    <w:p>
      <w:pPr>
        <w:pStyle w:val="Heading3"/>
      </w:pPr>
      <w:r>
        <w:rPr>
          <w:rFonts w:ascii="Malgun Gothic" w:hAnsi="Malgun Gothic" w:eastAsia="Malgun Gothic" w:cs="Malgun Gothic"/>
        </w:rPr>
        <w:t xml:space="preserve">2-2. 현재 자기자본 구조와의 정합성</w:t>
      </w:r>
    </w:p>
    <w:p>
      <w:pPr>
        <w:pStyle w:val="FirstParagraph"/>
      </w:pPr>
      <w:r>
        <w:rPr>
          <w:rFonts w:ascii="Malgun Gothic" w:hAnsi="Malgun Gothic" w:eastAsia="Malgun Gothic" w:cs="Malgun Gothic"/>
        </w:rPr>
        <w:t xml:space="preserve">기존 수지분석(2025.01.23 기준)상 자기자본은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  <w:b/>
          <w:bCs/>
        </w:rPr>
        <w:t xml:space="preserve">380억원</w:t>
      </w:r>
      <w:r>
        <w:rPr>
          <w:rFonts w:ascii="Malgun Gothic" w:hAnsi="Malgun Gothic" w:eastAsia="Malgun Gothic" w:cs="Malgun Gothic"/>
        </w:rPr>
        <w:t xml:space="preserve">으로 계획되어 있습니다.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의문 사항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확인 필요 이유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380억 중 이미 납입된 금액은 얼마인가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미납입분이 있다면 투자자의 300억이 그 공백을 메우는 구조일 수 있음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기존 투자자의 실제 투입액은 얼마인가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기존 투자자가 소액 투입 후 대규모 지분을 보유 중이라면 불공정 구조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300억 투입 후 총 에쿼티는 680억인가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수지분석상 380억만 필요한데 680억이 되면 잉여 자본 운용 계획을 확인해야 함</w:t>
            </w:r>
          </w:p>
        </w:tc>
      </w:tr>
    </w:tbl>
    <w:p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5"/>
    <w:bookmarkEnd w:id="16"/>
    <w:bookmarkStart w:id="22" w:name="X5b30473958495e2a8d49a27e7eb52c20e945506"/>
    <w:p>
      <w:pPr>
        <w:pStyle w:val="Heading2"/>
      </w:pPr>
      <w:r>
        <w:rPr>
          <w:rFonts w:ascii="Malgun Gothic" w:hAnsi="Malgun Gothic" w:eastAsia="Malgun Gothic" w:cs="Malgun Gothic"/>
        </w:rPr>
        <w:t xml:space="preserve">3. 상대방 수익 주장 800억 신뢰도 분석 {#3}</w:t>
      </w:r>
    </w:p>
    <w:bookmarkStart w:id="17" w:name="X0d4e32714817b7fd17259897df012787021dacf"/>
    <w:p>
      <w:pPr>
        <w:pStyle w:val="Heading3"/>
      </w:pPr>
      <w:r>
        <w:rPr>
          <w:rFonts w:ascii="Malgun Gothic" w:hAnsi="Malgun Gothic" w:eastAsia="Malgun Gothic" w:cs="Malgun Gothic"/>
        </w:rPr>
        <w:t xml:space="preserve">3-1. 기존 분석(v3.1)과의 비교</w:t>
      </w:r>
    </w:p>
    <w:p>
      <w:pPr>
        <w:pStyle w:val="SourceCode"/>
      </w:pPr>
      <w:r>
        <w:rPr>
          <w:rStyle w:val="VerbatimChar"/>
          <w:rFonts w:ascii="Malgun Gothic" w:hAnsi="Malgun Gothic" w:eastAsia="Malgun Gothic" w:cs="Malgun Gothic"/>
        </w:rPr>
        <w:t xml:space="preserve">기존 보고서 Base case 사업수지:  708.02억원 (연면적 대비 21.85%)</w:t>
      </w:r>
      <w:r>
        <w:rPr>
          <w:rFonts w:ascii="Malgun Gothic" w:hAnsi="Malgun Gothic" w:eastAsia="Malgun Gothic" w:cs="Malgun Gothic"/>
        </w:rPr>
        <w:br/>
      </w:r>
      <w:r>
        <w:rPr>
          <w:rStyle w:val="VerbatimChar"/>
          <w:rFonts w:ascii="Malgun Gothic" w:hAnsi="Malgun Gothic" w:eastAsia="Malgun Gothic" w:cs="Malgun Gothic"/>
        </w:rPr>
        <w:t xml:space="preserve">상대방 주장 수익:                 800.00억원</w:t>
      </w:r>
      <w:r>
        <w:rPr>
          <w:rFonts w:ascii="Malgun Gothic" w:hAnsi="Malgun Gothic" w:eastAsia="Malgun Gothic" w:cs="Malgun Gothic"/>
        </w:rPr>
        <w:br/>
      </w:r>
      <w:r>
        <w:rPr>
          <w:rStyle w:val="VerbatimChar"/>
          <w:rFonts w:ascii="Malgun Gothic" w:hAnsi="Malgun Gothic" w:eastAsia="Malgun Gothic" w:cs="Malgun Gothic"/>
        </w:rPr>
        <w:t xml:space="preserve">차이:                            +91.98억원 (+13.0%)</w:t>
      </w:r>
    </w:p>
    <w:p>
      <w:pPr>
        <w:pStyle w:val="FirstParagraph"/>
      </w:pPr>
      <w:r>
        <w:rPr>
          <w:rFonts w:ascii="Malgun Gothic" w:hAnsi="Malgun Gothic" w:eastAsia="Malgun Gothic" w:cs="Malgun Gothic"/>
        </w:rPr>
        <w:t xml:space="preserve">상대방이 주장하는 800억은 이미 낙관적 가정으로 도출된 기존 보고서 Base case보다 13% 높은 수치입니다.</w:t>
      </w:r>
    </w:p>
    <w:bookmarkEnd w:id="17"/>
    <w:bookmarkStart w:id="20" w:name="Xf706ed4f700a0d3afc7ee777ffd01f0b24d2f81"/>
    <w:p>
      <w:pPr>
        <w:pStyle w:val="Heading3"/>
      </w:pPr>
      <w:r>
        <w:rPr>
          <w:rFonts w:ascii="Malgun Gothic" w:hAnsi="Malgun Gothic" w:eastAsia="Malgun Gothic" w:cs="Malgun Gothic"/>
        </w:rPr>
        <w:t xml:space="preserve">3-2. 800억 달성 조건 (모두 동시 충족 필요)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조건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현재 상태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충족 가능성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HUG 저리 융자 성공 (Tr.A-1</w:t>
            </w:r>
            <w:r>
              <w:rPr>
                <w:rFonts w:ascii="Malgun Gothic" w:hAnsi="Malgun Gothic" w:eastAsia="Malgun Gothic" w:cs="Malgun Gothic"/>
              </w:rPr>
              <w:t xml:space="preserve"> </w:t>
            </w:r>
            <w:hyperlink r:id="rId18">
              <w:r>
                <w:rPr>
                  <w:rStyle w:val="Hyperlink"/>
                </w:rPr>
                <w:t xml:space="preserve">650억@2.2</w:t>
              </w:r>
            </w:hyperlink>
            <w:r>
              <w:rPr>
                <w:rFonts w:ascii="Malgun Gothic" w:hAnsi="Malgun Gothic" w:eastAsia="Malgun Gothic" w:cs="Malgun Gothic"/>
              </w:rPr>
              <w:t xml:space="preserve">%, Tr.A-2 1,</w:t>
            </w:r>
            <w:hyperlink r:id="rId19">
              <w:r>
                <w:rPr>
                  <w:rStyle w:val="Hyperlink"/>
                </w:rPr>
                <w:t xml:space="preserve">010억@5.0</w:t>
              </w:r>
            </w:hyperlink>
            <w:r>
              <w:rPr>
                <w:rFonts w:ascii="Malgun Gothic" w:hAnsi="Malgun Gothic" w:eastAsia="Malgun Gothic" w:cs="Malgun Gothic"/>
              </w:rPr>
              <w:t xml:space="preserve">%)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주거비중 43.87%로 HUG 70% 요건 미달 →</w:t>
            </w:r>
            <w:r>
              <w:rPr>
                <w:rFonts w:ascii="Malgun Gothic" w:hAnsi="Malgun Gothic" w:eastAsia="Malgun Gothic" w:cs="Malgun Gothic"/>
              </w:rPr>
              <w:t xml:space="preserve"> </w:t>
            </w:r>
            <w:r>
              <w:rPr>
                <w:rFonts w:ascii="Malgun Gothic" w:hAnsi="Malgun Gothic" w:eastAsia="Malgun Gothic" w:cs="Malgun Gothic"/>
                <w:b/>
                <w:bCs/>
              </w:rPr>
              <w:t xml:space="preserve">적격성 미확정·고위험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낮음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분양가 계획 100% 달성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사상구 오피스텔 75.5%, 상가 10.2% 분양률 시장 현실 감안 시 도전적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낮음~중간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공사비 계획치 유지 (6,500천원/평)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시장 대비 15~30% 저가 책정 → 초과 위험 존재 (+226~452억)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낮음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분양세대수 확정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업무 252호(수지분석) vs 305~320호(IR) 불일치 미해소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불명확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미독해 서류 (PDF#4) 이상 없음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</w:rPr>
              <w:t xml:space="preserve">사상 기업지원복합센터 서류_25.02.13</w:t>
            </w:r>
            <w:r>
              <w:rPr>
                <w:rFonts w:ascii="Malgun Gothic" w:hAnsi="Malgun Gothic" w:eastAsia="Malgun Gothic" w:cs="Malgun Gothic"/>
              </w:rPr>
              <w:t xml:space="preserve"> </w:t>
            </w:r>
            <w:r>
              <w:rPr>
                <w:rFonts w:ascii="Malgun Gothic" w:hAnsi="Malgun Gothic" w:eastAsia="Malgun Gothic" w:cs="Malgun Gothic"/>
              </w:rPr>
              <w:t xml:space="preserve">내용 미확인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불명확</w:t>
            </w:r>
          </w:p>
        </w:tc>
      </w:tr>
    </w:tbl>
    <w:bookmarkEnd w:id="20"/>
    <w:bookmarkStart w:id="21" w:name="X57319b729fbef3a617e5c72aa185f7f1989f536"/>
    <w:p>
      <w:pPr>
        <w:pStyle w:val="Heading3"/>
      </w:pPr>
      <w:r>
        <w:rPr>
          <w:rFonts w:ascii="Malgun Gothic" w:hAnsi="Malgun Gothic" w:eastAsia="Malgun Gothic" w:cs="Malgun Gothic"/>
        </w:rPr>
        <w:t xml:space="preserve">3-3. 시나리오별 확률 분포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수익 구간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추정 확률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800억 이상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10~20%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HUG 미확정·공사비 초과·분양 불확실성 삼중 병목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400~799억 (Base~시장보정 사이)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35~45%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HUG 조건부 성공, 분양 일부 지연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100~399억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20~30%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HUG 실패 시 금융비용 급증 (+200~300억)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손익분기 이하 (0 미만)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15~25%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복합악재 시나리오 — 보고서 △360.82억</w:t>
            </w:r>
          </w:p>
        </w:tc>
      </w:tr>
    </w:tbl>
    <w:p>
      <w:pPr>
        <w:pStyle w:val="BlockText"/>
      </w:pPr>
      <w:r>
        <w:rPr>
          <w:rFonts w:ascii="Malgun Gothic" w:hAnsi="Malgun Gothic" w:eastAsia="Malgun Gothic" w:cs="Malgun Gothic"/>
          <w:b/>
          <w:bCs/>
        </w:rPr>
        <w:t xml:space="preserve">종합 판단: "800억"은 10~20% 확률의 최적 시나리오입니다. 상대방이 이 수치를 확정 수익처럼 제시한다면 중대한 과장으로 봐야 합니다.</w:t>
      </w:r>
    </w:p>
    <w:p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21"/>
    <w:bookmarkEnd w:id="22"/>
    <w:bookmarkStart w:id="25" w:name="Xb000f69661c81e9be24bff52c4ad5fc1f44c426"/>
    <w:p>
      <w:pPr>
        <w:pStyle w:val="Heading2"/>
      </w:pPr>
      <w:r>
        <w:rPr>
          <w:rFonts w:ascii="Malgun Gothic" w:hAnsi="Malgun Gothic" w:eastAsia="Malgun Gothic" w:cs="Malgun Gothic"/>
        </w:rPr>
        <w:t xml:space="preserve">4. 기대 수익 시나리오 분석 {#4}</w:t>
      </w:r>
    </w:p>
    <w:bookmarkStart w:id="23" w:name="Xba5bec50e5cb694d72ebb7dbd7f3bcf6c8ef699"/>
    <w:p>
      <w:pPr>
        <w:pStyle w:val="Heading3"/>
      </w:pPr>
      <w:r>
        <w:rPr>
          <w:rFonts w:ascii="Malgun Gothic" w:hAnsi="Malgun Gothic" w:eastAsia="Malgun Gothic" w:cs="Malgun Gothic"/>
        </w:rPr>
        <w:t xml:space="preserve">4-1. 투자자(검토자) 기준 수익 시나리오</w:t>
      </w:r>
    </w:p>
    <w:p>
      <w:pPr>
        <w:pStyle w:val="FirstParagraph"/>
      </w:pPr>
      <w:r>
        <w:rPr>
          <w:rFonts w:ascii="Malgun Gothic" w:hAnsi="Malgun Gothic" w:eastAsia="Malgun Gothic" w:cs="Malgun Gothic"/>
        </w:rPr>
        <w:t xml:space="preserve">원금 300억원, 수익 배분율 50% 기준.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전체 사업수지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투자자 수취 (50%)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원금 포함 회수액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순이익/손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총수익률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연환산 수익률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상대방 주장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800억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400억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700억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+100억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+33.3%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약 +8.6%/년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Base case (보고서)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708억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354억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654억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+54억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+18.0%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약 +4.8%/년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시장보정 시나리오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199억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99.5억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399.5억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△200.5억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△66.8%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약 △24.8%/년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복합악재 시나리오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△360.8억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△180.4억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119.6억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△180.4억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△60.1%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약 △21.5%/년</w:t>
            </w:r>
          </w:p>
        </w:tc>
      </w:tr>
    </w:tbl>
    <w:p>
      <w:pPr>
        <w:pStyle w:val="BlockText"/>
      </w:pPr>
      <w:r>
        <w:rPr>
          <w:rFonts w:ascii="Malgun Gothic" w:hAnsi="Malgun Gothic" w:eastAsia="Malgun Gothic" w:cs="Malgun Gothic"/>
        </w:rPr>
        <w:t xml:space="preserve">투자 기간 3.5년, 공사 완료 시점 일괄 수취 가정.</w:t>
      </w:r>
    </w:p>
    <w:bookmarkEnd w:id="23"/>
    <w:bookmarkStart w:id="24" w:name="Xc99174ecd7e0ec7ef281e7a6f154b1b6871285d"/>
    <w:p>
      <w:pPr>
        <w:pStyle w:val="Heading3"/>
      </w:pPr>
      <w:r>
        <w:rPr>
          <w:rFonts w:ascii="Malgun Gothic" w:hAnsi="Malgun Gothic" w:eastAsia="Malgun Gothic" w:cs="Malgun Gothic"/>
        </w:rPr>
        <w:t xml:space="preserve">4-2. 수익률 벤치마크 비교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투자 대안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연환산 수익률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리스크 수준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3년 국고채 (2026년 기준)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약 3.5~4.0%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매우 낮음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은행 3년 정기예금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약 3.0~3.5%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매우 낮음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우량 회사채 (AA-)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약 4.0~5.0%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낮음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부동산 PF 선순위 대출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약 5.5~7.5%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중간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부동산 PF 메자닌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약 10~15%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중간~높음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본 투자 Base case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약 4.8%/년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매우 높음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본 투자 상대방 주장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약 8.6%/년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매우 높음</w:t>
            </w:r>
          </w:p>
        </w:tc>
      </w:tr>
    </w:tbl>
    <w:p>
      <w:pPr>
        <w:pStyle w:val="BlockText"/>
      </w:pPr>
      <w:r>
        <w:rPr>
          <w:rFonts w:ascii="Malgun Gothic" w:hAnsi="Malgun Gothic" w:eastAsia="Malgun Gothic" w:cs="Malgun Gothic"/>
          <w:b/>
          <w:bCs/>
        </w:rPr>
        <w:t xml:space="preserve">결론: Base case 기준 연 4.8%는 리스크 대비 보상이 현저히 낮습니다. 상대방 주장 시나리오가 실현되어야 PF 메자닌 수준에 근접하나, 그 확률은 10~20%에 불과합니다.</w:t>
      </w:r>
    </w:p>
    <w:p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24"/>
    <w:bookmarkEnd w:id="25"/>
    <w:bookmarkStart w:id="29" w:name="X25174d8f331df0de68ce32d6789071debaf0507"/>
    <w:p>
      <w:pPr>
        <w:pStyle w:val="Heading2"/>
      </w:pPr>
      <w:r>
        <w:rPr>
          <w:rFonts w:ascii="Malgun Gothic" w:hAnsi="Malgun Gothic" w:eastAsia="Malgun Gothic" w:cs="Malgun Gothic"/>
        </w:rPr>
        <w:t xml:space="preserve">5. 자본 구조 공정성 평가 {#5}</w:t>
      </w:r>
    </w:p>
    <w:bookmarkStart w:id="26" w:name="Xb1af9c19883efda17e7cf367521c0a72ca59478"/>
    <w:p>
      <w:pPr>
        <w:pStyle w:val="Heading3"/>
      </w:pPr>
      <w:r>
        <w:rPr>
          <w:rFonts w:ascii="Malgun Gothic" w:hAnsi="Malgun Gothic" w:eastAsia="Malgun Gothic" w:cs="Malgun Gothic"/>
        </w:rPr>
        <w:t xml:space="preserve">5-1. 자본 기여 대비 수익 배분</w:t>
      </w:r>
    </w:p>
    <w:p>
      <w:pPr>
        <w:pStyle w:val="FirstParagraph"/>
      </w:pPr>
      <w:r>
        <w:rPr>
          <w:rFonts w:ascii="Malgun Gothic" w:hAnsi="Malgun Gothic" w:eastAsia="Malgun Gothic" w:cs="Malgun Gothic"/>
        </w:rPr>
        <w:t xml:space="preserve">기존 투자자가 수지분석상 380억원을 이미 투입했다고 가정.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항목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기존 투자자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투자자 (검토자)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투입 자본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380억원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300억원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총 에쿼티 대비 자본 비중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55.9%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44.1%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취득 지분율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51%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49%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수익 배분율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50%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Base case 수취액 (절대액)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354억원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354억원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투입자본 대비 수익률 (Base case)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93.2%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18.0%</w:t>
            </w:r>
          </w:p>
        </w:tc>
      </w:tr>
    </w:tbl>
    <w:bookmarkEnd w:id="26"/>
    <w:bookmarkStart w:id="27" w:name="X843b1373b6ebd16fdc885b7e84f3af84a0b22ff"/>
    <w:p>
      <w:pPr>
        <w:pStyle w:val="Heading3"/>
      </w:pPr>
      <w:r>
        <w:rPr>
          <w:rFonts w:ascii="Malgun Gothic" w:hAnsi="Malgun Gothic" w:eastAsia="Malgun Gothic" w:cs="Malgun Gothic"/>
        </w:rPr>
        <w:t xml:space="preserve">5-2. 구조적 불균형 요약</w:t>
      </w:r>
    </w:p>
    <w:p>
      <w:pPr>
        <w:pStyle w:val="FirstParagraph"/>
      </w:pPr>
      <w:r>
        <w:rPr>
          <w:rFonts w:ascii="Malgun Gothic" w:hAnsi="Malgun Gothic" w:eastAsia="Malgun Gothic" w:cs="Malgun Gothic"/>
        </w:rPr>
        <w:t xml:space="preserve">동일 금액(354억원)을 받는 두 투자자의 실제 조건은 다음과 같이 크게 다릅니다.</w:t>
      </w:r>
    </w:p>
    <w:p>
      <w:pPr>
        <w:pStyle w:val="Compact"/>
        <w:numPr>
          <w:ilvl w:val="0"/>
          <w:numId w:val="1002"/>
        </w:numPr>
      </w:pPr>
      <w:r>
        <w:rPr>
          <w:rFonts w:ascii="Malgun Gothic" w:hAnsi="Malgun Gothic" w:eastAsia="Malgun Gothic" w:cs="Malgun Gothic"/>
          <w:b/>
          <w:bCs/>
        </w:rPr>
        <w:t xml:space="preserve">기존 투자자</w:t>
      </w:r>
      <w:r>
        <w:rPr>
          <w:rFonts w:ascii="Malgun Gothic" w:hAnsi="Malgun Gothic" w:eastAsia="Malgun Gothic" w:cs="Malgun Gothic"/>
        </w:rPr>
        <w:t xml:space="preserve">: 380억 투입 → 354억 수익 → ROI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  <w:b/>
          <w:bCs/>
        </w:rPr>
        <w:t xml:space="preserve">93.2%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(3.5년)</w:t>
      </w:r>
    </w:p>
    <w:p>
      <w:pPr>
        <w:pStyle w:val="Compact"/>
        <w:numPr>
          <w:ilvl w:val="0"/>
          <w:numId w:val="1002"/>
        </w:numPr>
      </w:pPr>
      <w:r>
        <w:rPr>
          <w:rFonts w:ascii="Malgun Gothic" w:hAnsi="Malgun Gothic" w:eastAsia="Malgun Gothic" w:cs="Malgun Gothic"/>
          <w:b/>
          <w:bCs/>
        </w:rPr>
        <w:t xml:space="preserve">투자자(검토자)</w:t>
      </w:r>
      <w:r>
        <w:rPr>
          <w:rFonts w:ascii="Malgun Gothic" w:hAnsi="Malgun Gothic" w:eastAsia="Malgun Gothic" w:cs="Malgun Gothic"/>
        </w:rPr>
        <w:t xml:space="preserve">: 300억 투입 → 354억 수익 → ROI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  <w:b/>
          <w:bCs/>
        </w:rPr>
        <w:t xml:space="preserve">18.0%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(3.5년)</w:t>
      </w:r>
    </w:p>
    <w:p>
      <w:pPr>
        <w:pStyle w:val="BlockText"/>
      </w:pPr>
      <w:r>
        <w:rPr>
          <w:rFonts w:ascii="Malgun Gothic" w:hAnsi="Malgun Gothic" w:eastAsia="Malgun Gothic" w:cs="Malgun Gothic"/>
        </w:rPr>
        <w:t xml:space="preserve">기존 투자자는 투자자(검토자)보다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  <w:b/>
          <w:bCs/>
        </w:rPr>
        <w:t xml:space="preserve">5.2배 높은 수익률</w:t>
      </w:r>
      <w:r>
        <w:rPr>
          <w:rFonts w:ascii="Malgun Gothic" w:hAnsi="Malgun Gothic" w:eastAsia="Malgun Gothic" w:cs="Malgun Gothic"/>
        </w:rPr>
        <w:t xml:space="preserve">을 가져가는 구조입니다. 이 불균형은 협상 재조정의 근거가 됩니다.</w:t>
      </w:r>
    </w:p>
    <w:bookmarkEnd w:id="27"/>
    <w:bookmarkStart w:id="28" w:name="X680368e2b4db80e2f1cb5714271e874aea8edda"/>
    <w:p>
      <w:pPr>
        <w:pStyle w:val="Heading3"/>
      </w:pPr>
      <w:r>
        <w:rPr>
          <w:rFonts w:ascii="Malgun Gothic" w:hAnsi="Malgun Gothic" w:eastAsia="Malgun Gothic" w:cs="Malgun Gothic"/>
        </w:rPr>
        <w:t xml:space="preserve">5-3. 공정 조건 도출 (참고)</w:t>
      </w:r>
    </w:p>
    <w:p>
      <w:pPr>
        <w:pStyle w:val="FirstParagraph"/>
      </w:pPr>
      <w:r>
        <w:rPr>
          <w:rFonts w:ascii="Malgun Gothic" w:hAnsi="Malgun Gothic" w:eastAsia="Malgun Gothic" w:cs="Malgun Gothic"/>
        </w:rPr>
        <w:t xml:space="preserve">투자자(검토자)가 기존 투자자와 동등한 리스크-리턴 구조를 갖추려면: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조정 방향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수익 배분율 상향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50% → 60~65%로 조정 (자본 비중 44.1%에 비례한 보상)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원금보장 조항 추가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사업 실패 시 기존 투자자가 300억 원금 우선 보전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우선 배당권 설정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300억에 대해 연 8% 우선 배당 후 잔여 수익 배분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담보 설정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토지 또는 건물에 대한 근저당권 설정</w:t>
            </w:r>
          </w:p>
        </w:tc>
      </w:tr>
    </w:tbl>
    <w:p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28"/>
    <w:bookmarkEnd w:id="29"/>
    <w:bookmarkStart w:id="33" w:name="Xd562a0e40cc2343c2dab327857101148619a8ee"/>
    <w:p>
      <w:pPr>
        <w:pStyle w:val="Heading2"/>
      </w:pPr>
      <w:r>
        <w:rPr>
          <w:rFonts w:ascii="Malgun Gothic" w:hAnsi="Malgun Gothic" w:eastAsia="Malgun Gothic" w:cs="Malgun Gothic"/>
        </w:rPr>
        <w:t xml:space="preserve">6. 리스크 체계 분류 {#6}</w:t>
      </w:r>
    </w:p>
    <w:bookmarkStart w:id="30" w:name="X23e6e7722abb922fc12cd14c90248f7165d4e54"/>
    <w:p>
      <w:pPr>
        <w:pStyle w:val="Heading3"/>
      </w:pPr>
      <w:r>
        <w:rPr>
          <w:rFonts w:ascii="Malgun Gothic" w:hAnsi="Malgun Gothic" w:eastAsia="Malgun Gothic" w:cs="Malgun Gothic"/>
        </w:rPr>
        <w:t xml:space="preserve">6-1. 구조적 리스크 (계약 전 반드시 해소)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리스크 항목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현황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긴급도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SR-1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300억 자금의 실제 흐름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프로젝트 투입 vs 기존 투자자 수취 불명확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🔴 최우선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SR-2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신탁 구조 유형 및 투자자 보호 수준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담보신탁·관리신탁·분양관리신탁 중 어느 것인지, 투자자가 수익자로 등재되는지 불명확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🔴 최우선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SR-3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토지 소유권 현황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잔금 94.4억 + 조정분 171.2억 = 265.6억 미지급 추정, 부산도시공사 명의 잔류 가능성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🔴 최우선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SR-4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HUG 융자 적격성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주거비중 43.87%로 70% 요건 미달 → PF 금리 2.2~5.0% 불가 시 사업수지 200~300억 감소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🔴 최우선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SR-5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하방 손실 한계 조항 부재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사업 실패 시 손실 분담 비율 및 투자자 원금 보호 조항 확인 필요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🔴 최우선</w:t>
            </w:r>
          </w:p>
        </w:tc>
      </w:tr>
    </w:tbl>
    <w:bookmarkEnd w:id="30"/>
    <w:bookmarkStart w:id="31" w:name="X266a2314ef1053874202706e73b506b8a187d47"/>
    <w:p>
      <w:pPr>
        <w:pStyle w:val="Heading3"/>
      </w:pPr>
      <w:r>
        <w:rPr>
          <w:rFonts w:ascii="Malgun Gothic" w:hAnsi="Malgun Gothic" w:eastAsia="Malgun Gothic" w:cs="Malgun Gothic"/>
        </w:rPr>
        <w:t xml:space="preserve">6-2. 운영 리스크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리스크 항목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근거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수준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OR-1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"1년 내 분양 완료" 주장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비주거(상가 10.2%, 오피스 34%) 시장 공실 현실 감안 시 매우 낙관적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🔴 고위험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OR-2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공사비 초과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계획 6,500천원/평 vs 시장 7,500~8,500천원/평 → 최대 +452억 초과 위험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🔴 고위험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OR-3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PDF#4 미확인 서류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</w:rPr>
              <w:t xml:space="preserve">사상 기업지원복합센터 서류_25.02.13</w:t>
            </w:r>
            <w:r>
              <w:rPr>
                <w:rFonts w:ascii="Malgun Gothic" w:hAnsi="Malgun Gothic" w:eastAsia="Malgun Gothic" w:cs="Malgun Gothic"/>
              </w:rPr>
              <w:t xml:space="preserve"> </w:t>
            </w:r>
            <w:r>
              <w:rPr>
                <w:rFonts w:ascii="Malgun Gothic" w:hAnsi="Malgun Gothic" w:eastAsia="Malgun Gothic" w:cs="Malgun Gothic"/>
              </w:rPr>
              <w:t xml:space="preserve">내용 미독해 — 잠재 채무·권리관계 불명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🟠 중위험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OR-4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사상-하단선 지연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개통 2026.12 → 2027~2028 추정 → 입지 프리미엄 실현 지연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🟠 중위험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OR-5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분양 세대수 불일치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업무 252호(수지분석) vs 305~320호(IR) — 인허가 확정 기준 불명확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🟠 중위험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OR-6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감정가 vs 취득가 괴리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감정평가액 498.2억 vs 용지매매계약 원금 188.7억 vs 수지분석 399.96억 — 232.7억 미설명 차이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🟡 확인 필요</w:t>
            </w:r>
          </w:p>
        </w:tc>
      </w:tr>
    </w:tbl>
    <w:bookmarkEnd w:id="31"/>
    <w:bookmarkStart w:id="32" w:name="Xd6696dd8cf374a9f7f45124fdb0c744022288db"/>
    <w:p>
      <w:pPr>
        <w:pStyle w:val="Heading3"/>
      </w:pPr>
      <w:r>
        <w:rPr>
          <w:rFonts w:ascii="Malgun Gothic" w:hAnsi="Malgun Gothic" w:eastAsia="Malgun Gothic" w:cs="Malgun Gothic"/>
        </w:rPr>
        <w:t xml:space="preserve">6-3. 리스크 매트릭스</w:t>
      </w:r>
    </w:p>
    <w:p>
      <w:pPr>
        <w:pStyle w:val="SourceCode"/>
      </w:pPr>
      <w:r>
        <w:rPr>
          <w:rStyle w:val="VerbatimChar"/>
          <w:rFonts w:ascii="Malgun Gothic" w:hAnsi="Malgun Gothic" w:eastAsia="Malgun Gothic" w:cs="Malgun Gothic"/>
        </w:rPr>
        <w:t xml:space="preserve"> 영향도</w:t>
      </w:r>
      <w:r>
        <w:rPr>
          <w:rFonts w:ascii="Malgun Gothic" w:hAnsi="Malgun Gothic" w:eastAsia="Malgun Gothic" w:cs="Malgun Gothic"/>
        </w:rPr>
        <w:br/>
      </w:r>
      <w:r>
        <w:rPr>
          <w:rStyle w:val="VerbatimChar"/>
          <w:rFonts w:ascii="Malgun Gothic" w:hAnsi="Malgun Gothic" w:eastAsia="Malgun Gothic" w:cs="Malgun Gothic"/>
        </w:rPr>
        <w:t xml:space="preserve">  대 │ SR-3(토지소유권)  SR-4(HUG)   SR-1(자금흐름)</w:t>
      </w:r>
      <w:r>
        <w:rPr>
          <w:rFonts w:ascii="Malgun Gothic" w:hAnsi="Malgun Gothic" w:eastAsia="Malgun Gothic" w:cs="Malgun Gothic"/>
        </w:rPr>
        <w:br/>
      </w:r>
      <w:r>
        <w:rPr>
          <w:rStyle w:val="VerbatimChar"/>
          <w:rFonts w:ascii="Malgun Gothic" w:hAnsi="Malgun Gothic" w:eastAsia="Malgun Gothic" w:cs="Malgun Gothic"/>
        </w:rPr>
        <w:t xml:space="preserve">     │ OR-2(공사비)       SR-2(신탁)   SR-5(손실한계)</w:t>
      </w:r>
      <w:r>
        <w:rPr>
          <w:rFonts w:ascii="Malgun Gothic" w:hAnsi="Malgun Gothic" w:eastAsia="Malgun Gothic" w:cs="Malgun Gothic"/>
        </w:rPr>
        <w:br/>
      </w:r>
      <w:r>
        <w:rPr>
          <w:rStyle w:val="VerbatimChar"/>
          <w:rFonts w:ascii="Malgun Gothic" w:hAnsi="Malgun Gothic" w:eastAsia="Malgun Gothic" w:cs="Malgun Gothic"/>
        </w:rPr>
        <w:t xml:space="preserve">  중 │                   OR-1(분양1년) OR-3(PDF#4)</w:t>
      </w:r>
      <w:r>
        <w:rPr>
          <w:rFonts w:ascii="Malgun Gothic" w:hAnsi="Malgun Gothic" w:eastAsia="Malgun Gothic" w:cs="Malgun Gothic"/>
        </w:rPr>
        <w:br/>
      </w:r>
      <w:r>
        <w:rPr>
          <w:rStyle w:val="VerbatimChar"/>
          <w:rFonts w:ascii="Malgun Gothic" w:hAnsi="Malgun Gothic" w:eastAsia="Malgun Gothic" w:cs="Malgun Gothic"/>
        </w:rPr>
        <w:t xml:space="preserve">     │                   OR-4(철도지연) OR-5(세대수)</w:t>
      </w:r>
      <w:r>
        <w:rPr>
          <w:rFonts w:ascii="Malgun Gothic" w:hAnsi="Malgun Gothic" w:eastAsia="Malgun Gothic" w:cs="Malgun Gothic"/>
        </w:rPr>
        <w:br/>
      </w:r>
      <w:r>
        <w:rPr>
          <w:rStyle w:val="VerbatimChar"/>
          <w:rFonts w:ascii="Malgun Gothic" w:hAnsi="Malgun Gothic" w:eastAsia="Malgun Gothic" w:cs="Malgun Gothic"/>
        </w:rPr>
        <w:t xml:space="preserve">  소 │                               OR-6(감정가)</w:t>
      </w:r>
      <w:r>
        <w:rPr>
          <w:rFonts w:ascii="Malgun Gothic" w:hAnsi="Malgun Gothic" w:eastAsia="Malgun Gothic" w:cs="Malgun Gothic"/>
        </w:rPr>
        <w:br/>
      </w:r>
      <w:r>
        <w:rPr>
          <w:rStyle w:val="VerbatimChar"/>
          <w:rFonts w:ascii="Malgun Gothic" w:hAnsi="Malgun Gothic" w:eastAsia="Malgun Gothic" w:cs="Malgun Gothic"/>
        </w:rPr>
        <w:t xml:space="preserve">     └─────────────────────────────────────────────</w:t>
      </w:r>
      <w:r>
        <w:rPr>
          <w:rFonts w:ascii="Malgun Gothic" w:hAnsi="Malgun Gothic" w:eastAsia="Malgun Gothic" w:cs="Malgun Gothic"/>
        </w:rPr>
        <w:br/>
      </w:r>
      <w:r>
        <w:rPr>
          <w:rStyle w:val="VerbatimChar"/>
          <w:rFonts w:ascii="Malgun Gothic" w:hAnsi="Malgun Gothic" w:eastAsia="Malgun Gothic" w:cs="Malgun Gothic"/>
        </w:rPr>
        <w:t xml:space="preserve">      낮음             중간           높음    발생가능성</w:t>
      </w:r>
    </w:p>
    <w:p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32"/>
    <w:bookmarkEnd w:id="33"/>
    <w:bookmarkStart w:id="42" w:name="X61af8055339140ef8a4e4e78747a4140a10cb7c"/>
    <w:p>
      <w:pPr>
        <w:pStyle w:val="Heading2"/>
      </w:pPr>
      <w:r>
        <w:rPr>
          <w:rFonts w:ascii="Malgun Gothic" w:hAnsi="Malgun Gothic" w:eastAsia="Malgun Gothic" w:cs="Malgun Gothic"/>
        </w:rPr>
        <w:t xml:space="preserve">7. 투자 전 필수 확인 과제 7선 {#7}</w:t>
      </w:r>
    </w:p>
    <w:bookmarkStart w:id="34" w:name="task-1-계약서-원문-입수-및-법무-검토"/>
    <w:p>
      <w:pPr>
        <w:pStyle w:val="Heading3"/>
      </w:pPr>
      <w:r>
        <w:rPr>
          <w:rFonts w:ascii="Malgun Gothic" w:hAnsi="Malgun Gothic" w:eastAsia="Malgun Gothic" w:cs="Malgun Gothic"/>
        </w:rPr>
        <w:t xml:space="preserve">Task 1. 계약서 원문 입수 및 법무 검토</w:t>
      </w:r>
    </w:p>
    <w:p>
      <w:pPr>
        <w:pStyle w:val="FirstParagraph"/>
      </w:pPr>
      <w:r>
        <w:rPr>
          <w:rFonts w:ascii="Malgun Gothic" w:hAnsi="Malgun Gothic" w:eastAsia="Malgun Gothic" w:cs="Malgun Gothic"/>
          <w:b/>
          <w:bCs/>
        </w:rPr>
        <w:t xml:space="preserve">목적: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300억의 법적 성격 확정 및 투자자 보호 조항 확인.</w:t>
      </w:r>
    </w:p>
    <w:p>
      <w:pPr>
        <w:pStyle w:val="BodyText"/>
      </w:pPr>
      <w:r>
        <w:rPr>
          <w:rFonts w:ascii="Malgun Gothic" w:hAnsi="Malgun Gothic" w:eastAsia="Malgun Gothic" w:cs="Malgun Gothic"/>
        </w:rPr>
        <w:t xml:space="preserve">확인 항목.</w:t>
      </w:r>
    </w:p>
    <w:p>
      <w:pPr>
        <w:pStyle w:val="Compact"/>
        <w:numPr>
          <w:ilvl w:val="0"/>
          <w:numId w:val="1003"/>
        </w:numPr>
      </w:pPr>
      <w:r>
        <w:rPr>
          <w:rFonts w:ascii="Malgun Gothic" w:hAnsi="Malgun Gothic" w:eastAsia="Malgun Gothic" w:cs="Malgun Gothic"/>
        </w:rPr>
        <w:t xml:space="preserve">300억의 성격: 에쿼티 투자 vs 지분 양수도 vs 대여금</w:t>
      </w:r>
    </w:p>
    <w:p>
      <w:pPr>
        <w:pStyle w:val="Compact"/>
        <w:numPr>
          <w:ilvl w:val="0"/>
          <w:numId w:val="1003"/>
        </w:numPr>
      </w:pPr>
      <w:r>
        <w:rPr>
          <w:rFonts w:ascii="Malgun Gothic" w:hAnsi="Malgun Gothic" w:eastAsia="Malgun Gothic" w:cs="Malgun Gothic"/>
        </w:rPr>
        <w:t xml:space="preserve">원금 손실 시 책임 한계 및 손실 분담 비율</w:t>
      </w:r>
    </w:p>
    <w:p>
      <w:pPr>
        <w:pStyle w:val="Compact"/>
        <w:numPr>
          <w:ilvl w:val="0"/>
          <w:numId w:val="1003"/>
        </w:numPr>
      </w:pPr>
      <w:r>
        <w:rPr>
          <w:rFonts w:ascii="Malgun Gothic" w:hAnsi="Malgun Gothic" w:eastAsia="Malgun Gothic" w:cs="Malgun Gothic"/>
        </w:rPr>
        <w:t xml:space="preserve">수익 지급 조건: 분양 완료 후 vs 공사 완료 후 vs 준공 후 입주 완료 후</w:t>
      </w:r>
    </w:p>
    <w:p>
      <w:pPr>
        <w:pStyle w:val="Compact"/>
        <w:numPr>
          <w:ilvl w:val="0"/>
          <w:numId w:val="1003"/>
        </w:numPr>
      </w:pPr>
      <w:r>
        <w:rPr>
          <w:rFonts w:ascii="Malgun Gothic" w:hAnsi="Malgun Gothic" w:eastAsia="Malgun Gothic" w:cs="Malgun Gothic"/>
        </w:rPr>
        <w:t xml:space="preserve">사업 실패·지연 시 투자자의 Exit 권리</w:t>
      </w:r>
    </w:p>
    <w:p>
      <w:pPr>
        <w:pStyle w:val="FirstParagraph"/>
      </w:pPr>
      <w:r>
        <w:rPr>
          <w:rFonts w:ascii="Malgun Gothic" w:hAnsi="Malgun Gothic" w:eastAsia="Malgun Gothic" w:cs="Malgun Gothic"/>
        </w:rPr>
        <w:t xml:space="preserve">예상 비용: 법무법인 계약서 검토 500~1,500만원.</w:t>
      </w:r>
    </w:p>
    <w:p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34"/>
    <w:bookmarkStart w:id="36" w:name="task-2-등기부등본-즉시-열람"/>
    <w:p>
      <w:pPr>
        <w:pStyle w:val="Heading3"/>
      </w:pPr>
      <w:r>
        <w:rPr>
          <w:rFonts w:ascii="Malgun Gothic" w:hAnsi="Malgun Gothic" w:eastAsia="Malgun Gothic" w:cs="Malgun Gothic"/>
        </w:rPr>
        <w:t xml:space="preserve">Task 2. 등기부등본 즉시 열람</w:t>
      </w:r>
    </w:p>
    <w:p>
      <w:pPr>
        <w:pStyle w:val="FirstParagraph"/>
      </w:pPr>
      <w:r>
        <w:rPr>
          <w:rFonts w:ascii="Malgun Gothic" w:hAnsi="Malgun Gothic" w:eastAsia="Malgun Gothic" w:cs="Malgun Gothic"/>
          <w:b/>
          <w:bCs/>
        </w:rPr>
        <w:t xml:space="preserve">목적: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토지 소유권 현황 및 권리관계 확인.</w:t>
      </w:r>
    </w:p>
    <w:p>
      <w:pPr>
        <w:pStyle w:val="BodyText"/>
      </w:pPr>
      <w:r>
        <w:rPr>
          <w:rFonts w:ascii="Malgun Gothic" w:hAnsi="Malgun Gothic" w:eastAsia="Malgun Gothic" w:cs="Malgun Gothic"/>
        </w:rPr>
        <w:t xml:space="preserve">확인 방법: 인터넷등기소(</w:t>
      </w:r>
      <w:hyperlink r:id="rId35">
        <w:r>
          <w:rPr>
            <w:rStyle w:val="Hyperlink"/>
          </w:rPr>
          <w:t xml:space="preserve">www.iros.go.kr</w:t>
        </w:r>
      </w:hyperlink>
      <w:r>
        <w:rPr>
          <w:rFonts w:ascii="Malgun Gothic" w:hAnsi="Malgun Gothic" w:eastAsia="Malgun Gothic" w:cs="Malgun Gothic"/>
        </w:rPr>
        <w:t xml:space="preserve">) → 학장동 230-1 검색.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확인 항목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현재 소유자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부산도시공사 vs 시행사 명의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근저당권 현황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이미 타 채권자 담보 설정 여부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가압류·가처분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분쟁 진행 여부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신탁등기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신탁 구조 존재 및 유형</w:t>
            </w:r>
          </w:p>
        </w:tc>
      </w:tr>
    </w:tbl>
    <w:p>
      <w:pPr>
        <w:pStyle w:val="BodyText"/>
      </w:pPr>
      <w:r>
        <w:rPr>
          <w:rFonts w:ascii="Malgun Gothic" w:hAnsi="Malgun Gothic" w:eastAsia="Malgun Gothic" w:cs="Malgun Gothic"/>
        </w:rPr>
        <w:t xml:space="preserve">수수료: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  <w:b/>
          <w:bCs/>
        </w:rPr>
        <w:t xml:space="preserve">700원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(열람).</w:t>
      </w:r>
    </w:p>
    <w:p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36"/>
    <w:bookmarkStart w:id="37" w:name="task-3-신탁-계약서-원문-입수-및-구조-확인"/>
    <w:p>
      <w:pPr>
        <w:pStyle w:val="Heading3"/>
      </w:pPr>
      <w:r>
        <w:rPr>
          <w:rFonts w:ascii="Malgun Gothic" w:hAnsi="Malgun Gothic" w:eastAsia="Malgun Gothic" w:cs="Malgun Gothic"/>
        </w:rPr>
        <w:t xml:space="preserve">Task 3. 신탁 계약서 원문 입수 및 구조 확인</w:t>
      </w:r>
    </w:p>
    <w:p>
      <w:pPr>
        <w:pStyle w:val="FirstParagraph"/>
      </w:pPr>
      <w:r>
        <w:rPr>
          <w:rFonts w:ascii="Malgun Gothic" w:hAnsi="Malgun Gothic" w:eastAsia="Malgun Gothic" w:cs="Malgun Gothic"/>
          <w:b/>
          <w:bCs/>
        </w:rPr>
        <w:t xml:space="preserve">목적: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투자자 원금이 실제로 보호되는 구조인지 확인.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신탁 유형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투자자 보호 수준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주의 사항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분양관리신탁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중간 — 분양대금 별도 관리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PF 대주가 최우선 수익자인지 확인 필요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담보신탁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낮음 — 담보 제공용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투자자는 채권자 순위에서 최후순위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관리형 토지신탁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높음 — 신탁사가 사업 관리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비용 증가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책임준공형 관리신탁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가장 높음 — 준공 보증 포함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여부 확인 필요</w:t>
            </w:r>
          </w:p>
        </w:tc>
      </w:tr>
    </w:tbl>
    <w:p>
      <w:pPr>
        <w:pStyle w:val="BodyText"/>
      </w:pPr>
      <w:r>
        <w:rPr>
          <w:rFonts w:ascii="Malgun Gothic" w:hAnsi="Malgun Gothic" w:eastAsia="Malgun Gothic" w:cs="Malgun Gothic"/>
        </w:rPr>
        <w:t xml:space="preserve">핵심 질문: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  <w:b/>
          <w:bCs/>
        </w:rPr>
        <w:t xml:space="preserve">투자자(검토자)가 신탁 계약상 수익자로 등재되는가.</w:t>
      </w:r>
    </w:p>
    <w:p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37"/>
    <w:bookmarkStart w:id="38" w:name="task-4-hug-기업금융센터-사전상담"/>
    <w:p>
      <w:pPr>
        <w:pStyle w:val="Heading3"/>
      </w:pPr>
      <w:r>
        <w:rPr>
          <w:rFonts w:ascii="Malgun Gothic" w:hAnsi="Malgun Gothic" w:eastAsia="Malgun Gothic" w:cs="Malgun Gothic"/>
        </w:rPr>
        <w:t xml:space="preserve">Task 4. HUG 기업금융센터 사전상담</w:t>
      </w:r>
    </w:p>
    <w:p>
      <w:pPr>
        <w:pStyle w:val="FirstParagraph"/>
      </w:pPr>
      <w:r>
        <w:rPr>
          <w:rFonts w:ascii="Malgun Gothic" w:hAnsi="Malgun Gothic" w:eastAsia="Malgun Gothic" w:cs="Malgun Gothic"/>
          <w:b/>
          <w:bCs/>
        </w:rPr>
        <w:t xml:space="preserve">목적: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PF 금리 2.2%/5.0% 조달 가능 여부 공식 확인.</w:t>
      </w:r>
    </w:p>
    <w:p>
      <w:pPr>
        <w:pStyle w:val="Compact"/>
        <w:numPr>
          <w:ilvl w:val="0"/>
          <w:numId w:val="1004"/>
        </w:numPr>
      </w:pPr>
      <w:r>
        <w:rPr>
          <w:rFonts w:ascii="Malgun Gothic" w:hAnsi="Malgun Gothic" w:eastAsia="Malgun Gothic" w:cs="Malgun Gothic"/>
        </w:rPr>
        <w:t xml:space="preserve">문의처: HUG(주택도시보증공사) 기업금융센터</w:t>
      </w:r>
    </w:p>
    <w:p>
      <w:pPr>
        <w:pStyle w:val="Compact"/>
        <w:numPr>
          <w:ilvl w:val="0"/>
          <w:numId w:val="1004"/>
        </w:numPr>
      </w:pPr>
      <w:r>
        <w:rPr>
          <w:rFonts w:ascii="Malgun Gothic" w:hAnsi="Malgun Gothic" w:eastAsia="Malgun Gothic" w:cs="Malgun Gothic"/>
        </w:rPr>
        <w:t xml:space="preserve">확인 사항: 비주거비중 56.13% 사업의 표준PF 보증 가능 여부</w:t>
      </w:r>
    </w:p>
    <w:p>
      <w:pPr>
        <w:pStyle w:val="Compact"/>
        <w:numPr>
          <w:ilvl w:val="0"/>
          <w:numId w:val="1004"/>
        </w:numPr>
      </w:pPr>
      <w:r>
        <w:rPr>
          <w:rFonts w:ascii="Malgun Gothic" w:hAnsi="Malgun Gothic" w:eastAsia="Malgun Gothic" w:cs="Malgun Gothic"/>
        </w:rPr>
        <w:t xml:space="preserve">실패 시 영향: 시장금리(7.5~9.5%) 적용 → 추가 금융비용 200~400억 → 사업수지 급감</w:t>
      </w:r>
    </w:p>
    <w:p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38"/>
    <w:bookmarkStart w:id="39" w:name="task-5-pdf4-서류-내용-확인"/>
    <w:p>
      <w:pPr>
        <w:pStyle w:val="Heading3"/>
      </w:pPr>
      <w:r>
        <w:rPr>
          <w:rFonts w:ascii="Malgun Gothic" w:hAnsi="Malgun Gothic" w:eastAsia="Malgun Gothic" w:cs="Malgun Gothic"/>
        </w:rPr>
        <w:t xml:space="preserve">Task 5. PDF#4 서류 내용 확인</w:t>
      </w:r>
    </w:p>
    <w:p>
      <w:pPr>
        <w:pStyle w:val="FirstParagraph"/>
      </w:pPr>
      <w:r>
        <w:rPr>
          <w:rFonts w:ascii="Malgun Gothic" w:hAnsi="Malgun Gothic" w:eastAsia="Malgun Gothic" w:cs="Malgun Gothic"/>
          <w:b/>
          <w:bCs/>
        </w:rPr>
        <w:t xml:space="preserve">목적: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사상 기업지원복합센터 서류_25.02.13(1).pdf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내용 검토.</w:t>
      </w:r>
    </w:p>
    <w:p>
      <w:pPr>
        <w:pStyle w:val="BodyText"/>
      </w:pPr>
      <w:r>
        <w:rPr>
          <w:rFonts w:ascii="Malgun Gothic" w:hAnsi="Malgun Gothic" w:eastAsia="Malgun Gothic" w:cs="Malgun Gothic"/>
        </w:rPr>
        <w:t xml:space="preserve">현재 상태: 환경 제약으로 자동 분석 불가 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  <w:b/>
          <w:bCs/>
        </w:rPr>
        <w:t xml:space="preserve">상대방에게 직접 원본 제공 요청 필수.</w:t>
      </w:r>
    </w:p>
    <w:p>
      <w:pPr>
        <w:pStyle w:val="BodyText"/>
      </w:pPr>
      <w:r>
        <w:rPr>
          <w:rFonts w:ascii="Malgun Gothic" w:hAnsi="Malgun Gothic" w:eastAsia="Malgun Gothic" w:cs="Malgun Gothic"/>
        </w:rPr>
        <w:t xml:space="preserve">확인 요청 항목.</w:t>
      </w:r>
    </w:p>
    <w:p>
      <w:pPr>
        <w:pStyle w:val="Compact"/>
        <w:numPr>
          <w:ilvl w:val="0"/>
          <w:numId w:val="1005"/>
        </w:numPr>
      </w:pPr>
      <w:r>
        <w:rPr>
          <w:rFonts w:ascii="Malgun Gothic" w:hAnsi="Malgun Gothic" w:eastAsia="Malgun Gothic" w:cs="Malgun Gothic"/>
        </w:rPr>
        <w:t xml:space="preserve">기업지원복합센터 관련 사업 조건 및 공공 의무 이행 내용</w:t>
      </w:r>
    </w:p>
    <w:p>
      <w:pPr>
        <w:pStyle w:val="Compact"/>
        <w:numPr>
          <w:ilvl w:val="0"/>
          <w:numId w:val="1005"/>
        </w:numPr>
      </w:pPr>
      <w:r>
        <w:rPr>
          <w:rFonts w:ascii="Malgun Gothic" w:hAnsi="Malgun Gothic" w:eastAsia="Malgun Gothic" w:cs="Malgun Gothic"/>
        </w:rPr>
        <w:t xml:space="preserve">추가 채무 또는 선순위 채권자 존재 여부</w:t>
      </w:r>
    </w:p>
    <w:p>
      <w:pPr>
        <w:pStyle w:val="Compact"/>
        <w:numPr>
          <w:ilvl w:val="0"/>
          <w:numId w:val="1005"/>
        </w:numPr>
      </w:pPr>
      <w:r>
        <w:rPr>
          <w:rFonts w:ascii="Malgun Gothic" w:hAnsi="Malgun Gothic" w:eastAsia="Malgun Gothic" w:cs="Malgun Gothic"/>
        </w:rPr>
        <w:t xml:space="preserve">시공사·시행사 간 계약 조건</w:t>
      </w:r>
    </w:p>
    <w:p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39"/>
    <w:bookmarkStart w:id="40" w:name="task-6-공인-회계사세무사-검토"/>
    <w:p>
      <w:pPr>
        <w:pStyle w:val="Heading3"/>
      </w:pPr>
      <w:r>
        <w:rPr>
          <w:rFonts w:ascii="Malgun Gothic" w:hAnsi="Malgun Gothic" w:eastAsia="Malgun Gothic" w:cs="Malgun Gothic"/>
        </w:rPr>
        <w:t xml:space="preserve">Task 6. 공인 회계사·세무사 검토</w:t>
      </w:r>
    </w:p>
    <w:p>
      <w:pPr>
        <w:pStyle w:val="FirstParagraph"/>
      </w:pPr>
      <w:r>
        <w:rPr>
          <w:rFonts w:ascii="Malgun Gothic" w:hAnsi="Malgun Gothic" w:eastAsia="Malgun Gothic" w:cs="Malgun Gothic"/>
          <w:b/>
          <w:bCs/>
        </w:rPr>
        <w:t xml:space="preserve">목적: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투자 수익의 세금 처리 방식 및 실질 수령액 확인.</w:t>
      </w:r>
    </w:p>
    <w:p>
      <w:pPr>
        <w:pStyle w:val="BodyText"/>
      </w:pPr>
      <w:r>
        <w:rPr>
          <w:rFonts w:ascii="Malgun Gothic" w:hAnsi="Malgun Gothic" w:eastAsia="Malgun Gothic" w:cs="Malgun Gothic"/>
        </w:rPr>
        <w:t xml:space="preserve">확인 항목.</w:t>
      </w:r>
    </w:p>
    <w:p>
      <w:pPr>
        <w:pStyle w:val="Compact"/>
        <w:numPr>
          <w:ilvl w:val="0"/>
          <w:numId w:val="1006"/>
        </w:numPr>
      </w:pPr>
      <w:r>
        <w:rPr>
          <w:rFonts w:ascii="Malgun Gothic" w:hAnsi="Malgun Gothic" w:eastAsia="Malgun Gothic" w:cs="Malgun Gothic"/>
        </w:rPr>
        <w:t xml:space="preserve">300억 투자 성격에 따른 과세 방식 (배당소득세 vs 양도소득세 vs 사업소득세)</w:t>
      </w:r>
    </w:p>
    <w:p>
      <w:pPr>
        <w:pStyle w:val="Compact"/>
        <w:numPr>
          <w:ilvl w:val="0"/>
          <w:numId w:val="1006"/>
        </w:numPr>
      </w:pPr>
      <w:r>
        <w:rPr>
          <w:rFonts w:ascii="Malgun Gothic" w:hAnsi="Malgun Gothic" w:eastAsia="Malgun Gothic" w:cs="Malgun Gothic"/>
        </w:rPr>
        <w:t xml:space="preserve">수익 수취 시 원천징수 여부</w:t>
      </w:r>
    </w:p>
    <w:p>
      <w:pPr>
        <w:pStyle w:val="Compact"/>
        <w:numPr>
          <w:ilvl w:val="0"/>
          <w:numId w:val="1006"/>
        </w:numPr>
      </w:pPr>
      <w:r>
        <w:rPr>
          <w:rFonts w:ascii="Malgun Gothic" w:hAnsi="Malgun Gothic" w:eastAsia="Malgun Gothic" w:cs="Malgun Gothic"/>
        </w:rPr>
        <w:t xml:space="preserve">법인 투자 vs 개인 투자 시 세후 수익률 비교</w:t>
      </w:r>
    </w:p>
    <w:p>
      <w:pPr>
        <w:pStyle w:val="BlockText"/>
      </w:pPr>
      <w:r>
        <w:rPr>
          <w:rFonts w:ascii="Malgun Gothic" w:hAnsi="Malgun Gothic" w:eastAsia="Malgun Gothic" w:cs="Malgun Gothic"/>
        </w:rPr>
        <w:t xml:space="preserve">예시: 배당소득 100억원에 대해 개인 기준 원천징수 15.4%, 금융소득 종합과세 대상 시 최대 49.5% 과세 가능 — 실수령액이 예상보다 크게 줄어들 수 있습니다.</w:t>
      </w:r>
    </w:p>
    <w:p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40"/>
    <w:bookmarkStart w:id="41" w:name="task-7-독립-투자-자문사ib-딜-구조-검토"/>
    <w:p>
      <w:pPr>
        <w:pStyle w:val="Heading3"/>
      </w:pPr>
      <w:r>
        <w:rPr>
          <w:rFonts w:ascii="Malgun Gothic" w:hAnsi="Malgun Gothic" w:eastAsia="Malgun Gothic" w:cs="Malgun Gothic"/>
        </w:rPr>
        <w:t xml:space="preserve">Task 7. 독립 투자 자문사(IB) 딜 구조 검토</w:t>
      </w:r>
    </w:p>
    <w:p>
      <w:pPr>
        <w:pStyle w:val="FirstParagraph"/>
      </w:pPr>
      <w:r>
        <w:rPr>
          <w:rFonts w:ascii="Malgun Gothic" w:hAnsi="Malgun Gothic" w:eastAsia="Malgun Gothic" w:cs="Malgun Gothic"/>
          <w:b/>
          <w:bCs/>
        </w:rPr>
        <w:t xml:space="preserve">목적: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제3자 관점에서 딜 조건의 시장 적정성 평가.</w:t>
      </w:r>
    </w:p>
    <w:p>
      <w:pPr>
        <w:pStyle w:val="BodyText"/>
      </w:pPr>
      <w:r>
        <w:rPr>
          <w:rFonts w:ascii="Malgun Gothic" w:hAnsi="Malgun Gothic" w:eastAsia="Malgun Gothic" w:cs="Malgun Gothic"/>
        </w:rPr>
        <w:t xml:space="preserve">배경: 부산·경남 지역 부동산 PF 에쿼티 투자의 시장 관행 대비 현재 조건(300억/49%/50%)의 공정성 판단.</w:t>
      </w:r>
    </w:p>
    <w:p>
      <w:pPr>
        <w:pStyle w:val="BodyText"/>
      </w:pPr>
      <w:r>
        <w:rPr>
          <w:rFonts w:ascii="Malgun Gothic" w:hAnsi="Malgun Gothic" w:eastAsia="Malgun Gothic" w:cs="Malgun Gothic"/>
        </w:rPr>
        <w:t xml:space="preserve">비용: IB 자문 일시 수수료 통상 0.1~0.5% (300억 기준 3,000~15,000만원) 또는 시간당 자문료.</w:t>
      </w:r>
    </w:p>
    <w:p>
      <w:pPr>
        <w:pStyle w:val="BlockText"/>
      </w:pPr>
      <w:r>
        <w:rPr>
          <w:rFonts w:ascii="Malgun Gothic" w:hAnsi="Malgun Gothic" w:eastAsia="Malgun Gothic" w:cs="Malgun Gothic"/>
          <w:b/>
          <w:bCs/>
        </w:rPr>
        <w:t xml:space="preserve">투자 규모 300억에서 자문 비용은 전체 리스크 대비 보험료 수준입니다.</w:t>
      </w:r>
    </w:p>
    <w:p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41"/>
    <w:bookmarkEnd w:id="42"/>
    <w:bookmarkStart w:id="49" w:name="Xb2628696bc7cabea59c131d38869d8801170831"/>
    <w:p>
      <w:pPr>
        <w:pStyle w:val="Heading2"/>
      </w:pPr>
      <w:r>
        <w:rPr>
          <w:rFonts w:ascii="Malgun Gothic" w:hAnsi="Malgun Gothic" w:eastAsia="Malgun Gothic" w:cs="Malgun Gothic"/>
        </w:rPr>
        <w:t xml:space="preserve">8. 종합 의견 및 권고 {#8}</w:t>
      </w:r>
    </w:p>
    <w:bookmarkStart w:id="43" w:name="Xb966e5eb7e7b0b5cc17a10801dff9f95a413431"/>
    <w:p>
      <w:pPr>
        <w:pStyle w:val="Heading3"/>
      </w:pPr>
      <w:r>
        <w:rPr>
          <w:rFonts w:ascii="Malgun Gothic" w:hAnsi="Malgun Gothic" w:eastAsia="Malgun Gothic" w:cs="Malgun Gothic"/>
        </w:rPr>
        <w:t xml:space="preserve">8-1. 상대방 주장 요약 및 현실성 평가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주장 항목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상대방 주장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현실성 평가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전체 수익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800억원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Base case 708억 초과 — 실현 확률</w:t>
            </w:r>
            <w:r>
              <w:rPr>
                <w:rFonts w:ascii="Malgun Gothic" w:hAnsi="Malgun Gothic" w:eastAsia="Malgun Gothic" w:cs="Malgun Gothic"/>
              </w:rPr>
              <w:t xml:space="preserve"> </w:t>
            </w:r>
            <w:r>
              <w:rPr>
                <w:rFonts w:ascii="Malgun Gothic" w:hAnsi="Malgun Gothic" w:eastAsia="Malgun Gothic" w:cs="Malgun Gothic"/>
                <w:b/>
                <w:bCs/>
              </w:rPr>
              <w:t xml:space="preserve">10~20%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분양 완료 시점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1년 이내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비주거 시장 현실 감안 시</w:t>
            </w:r>
            <w:r>
              <w:rPr>
                <w:rFonts w:ascii="Malgun Gothic" w:hAnsi="Malgun Gothic" w:eastAsia="Malgun Gothic" w:cs="Malgun Gothic"/>
              </w:rPr>
              <w:t xml:space="preserve"> </w:t>
            </w:r>
            <w:r>
              <w:rPr>
                <w:rFonts w:ascii="Malgun Gothic" w:hAnsi="Malgun Gothic" w:eastAsia="Malgun Gothic" w:cs="Malgun Gothic"/>
                <w:b/>
                <w:bCs/>
              </w:rPr>
              <w:t xml:space="preserve">매우 낙관적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공사 완료 시점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3년 6개월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건축허가 기준 가능하나 지연 위험 내재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신탁회사 지급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확인 필요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유형에 따라 투자자 보호 수준 크게 상이</w:t>
            </w:r>
          </w:p>
        </w:tc>
      </w:tr>
    </w:tbl>
    <w:bookmarkEnd w:id="43"/>
    <w:bookmarkStart w:id="44" w:name="Xc1e5138f3bc591046f9b76b5862cf411417b659"/>
    <w:p>
      <w:pPr>
        <w:pStyle w:val="Heading3"/>
      </w:pPr>
      <w:r>
        <w:rPr>
          <w:rFonts w:ascii="Malgun Gothic" w:hAnsi="Malgun Gothic" w:eastAsia="Malgun Gothic" w:cs="Malgun Gothic"/>
        </w:rPr>
        <w:t xml:space="preserve">8-2. 투자 구조 평가 요약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평가 항목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평가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기대 수익률 (Base case)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연 4.8%</w:t>
            </w:r>
            <w:r>
              <w:rPr>
                <w:rFonts w:ascii="Malgun Gothic" w:hAnsi="Malgun Gothic" w:eastAsia="Malgun Gothic" w:cs="Malgun Gothic"/>
              </w:rPr>
              <w:t xml:space="preserve"> </w:t>
            </w:r>
            <w:r>
              <w:rPr>
                <w:rFonts w:ascii="Malgun Gothic" w:hAnsi="Malgun Gothic" w:eastAsia="Malgun Gothic" w:cs="Malgun Gothic"/>
              </w:rPr>
              <w:t xml:space="preserve">— 리스크 대비 현저히 낮음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기대 수익률 (상대방 주장 기준)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연 8.6%</w:t>
            </w:r>
            <w:r>
              <w:rPr>
                <w:rFonts w:ascii="Malgun Gothic" w:hAnsi="Malgun Gothic" w:eastAsia="Malgun Gothic" w:cs="Malgun Gothic"/>
              </w:rPr>
              <w:t xml:space="preserve"> </w:t>
            </w:r>
            <w:r>
              <w:rPr>
                <w:rFonts w:ascii="Malgun Gothic" w:hAnsi="Malgun Gothic" w:eastAsia="Malgun Gothic" w:cs="Malgun Gothic"/>
              </w:rPr>
              <w:t xml:space="preserve">— 실현 확률 10~20%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자본 구조 공정성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기존 투자자 ROI 93% vs 투자자 ROI 18% —</w:t>
            </w:r>
            <w:r>
              <w:rPr>
                <w:rFonts w:ascii="Malgun Gothic" w:hAnsi="Malgun Gothic" w:eastAsia="Malgun Gothic" w:cs="Malgun Gothic"/>
              </w:rPr>
              <w:t xml:space="preserve"> </w:t>
            </w:r>
            <w:r>
              <w:rPr>
                <w:rFonts w:ascii="Malgun Gothic" w:hAnsi="Malgun Gothic" w:eastAsia="Malgun Gothic" w:cs="Malgun Gothic"/>
                <w:b/>
                <w:bCs/>
              </w:rPr>
              <w:t xml:space="preserve">불균형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하방 리스크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시장보정 시나리오: 원금의 66.8% 손실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구조적 리스크 해소 여부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5개 항목 모두</w:t>
            </w:r>
            <w:r>
              <w:rPr>
                <w:rFonts w:ascii="Malgun Gothic" w:hAnsi="Malgun Gothic" w:eastAsia="Malgun Gothic" w:cs="Malgun Gothic"/>
              </w:rPr>
              <w:t xml:space="preserve"> </w:t>
            </w:r>
            <w:r>
              <w:rPr>
                <w:rFonts w:ascii="Malgun Gothic" w:hAnsi="Malgun Gothic" w:eastAsia="Malgun Gothic" w:cs="Malgun Gothic"/>
                <w:b/>
                <w:bCs/>
              </w:rPr>
              <w:t xml:space="preserve">미해소 상태</w:t>
            </w:r>
          </w:p>
        </w:tc>
      </w:tr>
    </w:tbl>
    <w:bookmarkEnd w:id="44"/>
    <w:bookmarkStart w:id="46" w:name="Xbf8f3387855bae3a503349adab7718058faaa9f"/>
    <w:p>
      <w:pPr>
        <w:pStyle w:val="Heading3"/>
      </w:pPr>
      <w:r>
        <w:rPr>
          <w:rFonts w:ascii="Malgun Gothic" w:hAnsi="Malgun Gothic" w:eastAsia="Malgun Gothic" w:cs="Malgun Gothic"/>
        </w:rPr>
        <w:t xml:space="preserve">8-3. 투자 권고 등급</w:t>
      </w:r>
    </w:p>
    <w:p>
      <w:pPr>
        <w:pStyle w:val="Heading3"/>
      </w:pPr>
      <w:bookmarkStart w:id="45" w:name="warning-조건부-협상-재조정-후-재검토-현-조건-그대로-투자-불가"/>
      <w:r>
        <w:rPr>
          <w:rFonts w:ascii="Malgun Gothic" w:hAnsi="Malgun Gothic" w:eastAsia="Malgun Gothic" w:cs="Malgun Gothic"/>
        </w:rPr>
        <w:t xml:space="preserve">⚠️ 조건부 협상 재조정 후 재검토 (현 조건 그대로 투자 불가)</w:t>
      </w:r>
      <w:bookmarkEnd w:id="45"/>
    </w:p>
    <w:p>
      <w:pPr>
        <w:pStyle w:val="FirstParagraph"/>
      </w:pPr>
      <w:r>
        <w:rPr>
          <w:rFonts w:ascii="Malgun Gothic" w:hAnsi="Malgun Gothic" w:eastAsia="Malgun Gothic" w:cs="Malgun Gothic"/>
        </w:rPr>
        <w:t xml:space="preserve">현재 제시된 조건(300억/49%/50%)은 다음의 두 가지 이유로 수용하기 어렵습니다.</w:t>
      </w:r>
    </w:p>
    <w:p>
      <w:pPr>
        <w:pStyle w:val="BodyText"/>
      </w:pPr>
      <w:r>
        <w:rPr>
          <w:rFonts w:ascii="Malgun Gothic" w:hAnsi="Malgun Gothic" w:eastAsia="Malgun Gothic" w:cs="Malgun Gothic"/>
          <w:b/>
          <w:bCs/>
        </w:rPr>
        <w:t xml:space="preserve">이유 1 — 수익률 불균형.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동일 금액을 수취하면서도 투자자는 기존 투자자 대비 5.2배 낮은 수익률을 가져가는 구조입니다.</w:t>
      </w:r>
    </w:p>
    <w:p>
      <w:pPr>
        <w:pStyle w:val="BodyText"/>
      </w:pPr>
      <w:r>
        <w:rPr>
          <w:rFonts w:ascii="Malgun Gothic" w:hAnsi="Malgun Gothic" w:eastAsia="Malgun Gothic" w:cs="Malgun Gothic"/>
          <w:b/>
          <w:bCs/>
        </w:rPr>
        <w:t xml:space="preserve">이유 2 — 구조적 리스크 미해소.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토지 소유권(SR-3), HUG 적격성(SR-4), 신탁 보호 수준(SR-2) 등 5개 핵심 리스크가 해소되지 않은 상태입니다.</w:t>
      </w:r>
    </w:p>
    <w:bookmarkEnd w:id="46"/>
    <w:bookmarkStart w:id="47" w:name="X62638b991cba4da9cc9c33c69cf1f9be5372447"/>
    <w:p>
      <w:pPr>
        <w:pStyle w:val="Heading3"/>
      </w:pPr>
      <w:r>
        <w:rPr>
          <w:rFonts w:ascii="Malgun Gothic" w:hAnsi="Malgun Gothic" w:eastAsia="Malgun Gothic" w:cs="Malgun Gothic"/>
        </w:rPr>
        <w:t xml:space="preserve">8-4. 투자가 정당화되는 6가지 조건</w:t>
      </w:r>
    </w:p>
    <w:p>
      <w:pPr>
        <w:pStyle w:val="FirstParagraph"/>
      </w:pPr>
      <w:r>
        <w:rPr>
          <w:rFonts w:ascii="Malgun Gothic" w:hAnsi="Malgun Gothic" w:eastAsia="Malgun Gothic" w:cs="Malgun Gothic"/>
        </w:rPr>
        <w:t xml:space="preserve">모두 충족 시에 한하여 재검토 가능합니다.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조건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①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등기부 확인 → 부산도시공사 아닌 시행사 명의로 소유권 이전 완료 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②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HUG 사전상담 → 현 비주거 비중으로 PF 보증 가능 공식 통보 수령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③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신탁 구조 확인 → 투자자 원금이 분양대금 신탁계좌에서 우선 보호 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④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PDF#4 서류 확인 → 숨겨진 채무·공공 의무 사항 없음 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⑤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분양 세대수 수지분석 기준 일치 확인 또는 차이 설명 납득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⑥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협상 재조정 → 원금 보장 조항 또는 수익 배분 60~65%로 조정</w:t>
            </w:r>
          </w:p>
        </w:tc>
      </w:tr>
    </w:tbl>
    <w:bookmarkEnd w:id="47"/>
    <w:bookmarkStart w:id="48" w:name="X207305094edc13131f66789a60998d4f91b29fa"/>
    <w:p>
      <w:pPr>
        <w:pStyle w:val="Heading3"/>
      </w:pPr>
      <w:r>
        <w:rPr>
          <w:rFonts w:ascii="Malgun Gothic" w:hAnsi="Malgun Gothic" w:eastAsia="Malgun Gothic" w:cs="Malgun Gothic"/>
        </w:rPr>
        <w:t xml:space="preserve">8-5. 최종 경고</w:t>
      </w:r>
    </w:p>
    <w:p>
      <w:pPr>
        <w:pStyle w:val="FirstParagraph"/>
      </w:pPr>
      <w:r>
        <w:rPr>
          <w:rFonts w:ascii="Malgun Gothic" w:hAnsi="Malgun Gothic" w:eastAsia="Malgun Gothic" w:cs="Malgun Gothic"/>
        </w:rPr>
        <w:t xml:space="preserve">상대방이 다음 중 하나라도 해당할 경우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  <w:b/>
          <w:bCs/>
        </w:rPr>
        <w:t xml:space="preserve">즉시 투자를 중단</w:t>
      </w:r>
      <w:r>
        <w:rPr>
          <w:rFonts w:ascii="Malgun Gothic" w:hAnsi="Malgun Gothic" w:eastAsia="Malgun Gothic" w:cs="Malgun Gothic"/>
        </w:rPr>
        <w:t xml:space="preserve">하십시오.</w:t>
      </w:r>
    </w:p>
    <w:p>
      <w:pPr>
        <w:pStyle w:val="Compact"/>
        <w:numPr>
          <w:ilvl w:val="0"/>
          <w:numId w:val="1007"/>
        </w:numPr>
      </w:pPr>
      <w:r>
        <w:rPr>
          <w:rFonts w:ascii="Malgun Gothic" w:hAnsi="Malgun Gothic" w:eastAsia="Malgun Gothic" w:cs="Malgun Gothic"/>
        </w:rPr>
        <w:t xml:space="preserve">등기부 열람을 거부하거나 지연 요청</w:t>
      </w:r>
    </w:p>
    <w:p>
      <w:pPr>
        <w:pStyle w:val="Compact"/>
        <w:numPr>
          <w:ilvl w:val="0"/>
          <w:numId w:val="1007"/>
        </w:numPr>
      </w:pPr>
      <w:r>
        <w:rPr>
          <w:rFonts w:ascii="Malgun Gothic" w:hAnsi="Malgun Gothic" w:eastAsia="Malgun Gothic" w:cs="Malgun Gothic"/>
        </w:rPr>
        <w:t xml:space="preserve">신탁계약서 원문 제공 거부</w:t>
      </w:r>
    </w:p>
    <w:p>
      <w:pPr>
        <w:pStyle w:val="Compact"/>
        <w:numPr>
          <w:ilvl w:val="0"/>
          <w:numId w:val="1007"/>
        </w:numPr>
      </w:pPr>
      <w:r>
        <w:rPr>
          <w:rFonts w:ascii="Malgun Gothic" w:hAnsi="Malgun Gothic" w:eastAsia="Malgun Gothic" w:cs="Malgun Gothic"/>
        </w:rPr>
        <w:t xml:space="preserve">"지금 결정하지 않으면 기회가 없다"는 시한부 압박</w:t>
      </w:r>
    </w:p>
    <w:p>
      <w:pPr>
        <w:pStyle w:val="Compact"/>
        <w:numPr>
          <w:ilvl w:val="0"/>
          <w:numId w:val="1007"/>
        </w:numPr>
      </w:pPr>
      <w:r>
        <w:rPr>
          <w:rFonts w:ascii="Malgun Gothic" w:hAnsi="Malgun Gothic" w:eastAsia="Malgun Gothic" w:cs="Malgun Gothic"/>
        </w:rPr>
        <w:t xml:space="preserve">800억 수익을 "확정" 또는 "보장"으로 표현</w:t>
      </w:r>
    </w:p>
    <w:p>
      <w:pPr>
        <w:pStyle w:val="Compact"/>
        <w:numPr>
          <w:ilvl w:val="0"/>
          <w:numId w:val="1007"/>
        </w:numPr>
      </w:pPr>
      <w:r>
        <w:rPr>
          <w:rFonts w:ascii="Malgun Gothic" w:hAnsi="Malgun Gothic" w:eastAsia="Malgun Gothic" w:cs="Malgun Gothic"/>
        </w:rPr>
        <w:t xml:space="preserve">법무·회계 실사를 불필요하다고 설득</w:t>
      </w:r>
    </w:p>
    <w:p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48"/>
    <w:bookmarkEnd w:id="49"/>
    <w:bookmarkStart w:id="50" w:name="부록-a-핵심-숫자-대조표"/>
    <w:p>
      <w:pPr>
        <w:pStyle w:val="Heading2"/>
      </w:pPr>
      <w:r>
        <w:rPr>
          <w:rFonts w:ascii="Malgun Gothic" w:hAnsi="Malgun Gothic" w:eastAsia="Malgun Gothic" w:cs="Malgun Gothic"/>
        </w:rPr>
        <w:t xml:space="preserve">부록 A. 핵심 숫자 대조표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항목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수지분석 원본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상대방 주장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보고서 분석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전체 사업수지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708.02억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800억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708억 base / 199억 시장보정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자기자본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380억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미확인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기존 투자자 납입분 확인 필요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PF 금리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Tr.A-1 2.2% / Tr.A-2 5.0%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미확인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HUG 적격성 미확정 — 실제 7.5~9.5%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분양 완료 시점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미명시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1년 이내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비주거 분양 현실 감안 시 12~24개월 이상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공사 완료 시점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미명시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3.5년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합리적 — 단 지연 리스크 내재</w:t>
            </w:r>
          </w:p>
        </w:tc>
      </w:tr>
    </w:tbl>
    <w:p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50"/>
    <w:bookmarkStart w:id="51" w:name="부록-b-협상-레버리지-포인트"/>
    <w:p>
      <w:pPr>
        <w:pStyle w:val="Heading2"/>
      </w:pPr>
      <w:r>
        <w:rPr>
          <w:rFonts w:ascii="Malgun Gothic" w:hAnsi="Malgun Gothic" w:eastAsia="Malgun Gothic" w:cs="Malgun Gothic"/>
        </w:rPr>
        <w:t xml:space="preserve">부록 B. 협상 레버리지 포인트</w:t>
      </w:r>
    </w:p>
    <w:p>
      <w:pPr>
        <w:pStyle w:val="FirstParagraph"/>
      </w:pPr>
      <w:r>
        <w:rPr>
          <w:rFonts w:ascii="Malgun Gothic" w:hAnsi="Malgun Gothic" w:eastAsia="Malgun Gothic" w:cs="Malgun Gothic"/>
        </w:rPr>
        <w:t xml:space="preserve">투자자(검토자)가 협상에서 활용할 수 있는 근거.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레버리지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협상 논거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HUG 적격성 불확실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"HUG 불가 시 800억은 불가능. 시장금리 적용 시 수익 200~300억 감소"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공사비 저평가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"시장 대비 15~30% 저가 책정 — 300억 투자금으로 초과 비용 흡수 불가"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자본 불균형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"380억 투자자 ROI 93% vs 300억 투자자 ROI 18% — 수익 배분 재조정 정당"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소유권 미이전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"토지 소유권 미이전 상태에서 에쿼티 투자는 담보가 없는 구조"</w:t>
            </w:r>
          </w:p>
        </w:tc>
      </w:tr>
    </w:tbl>
    <w:p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Malgun Gothic" w:hAnsi="Malgun Gothic" w:eastAsia="Malgun Gothic" w:cs="Malgun Gothic"/>
          <w:i/>
          <w:iCs/>
        </w:rPr>
        <w:t xml:space="preserve">본 보고서는 2026-05-16 기준으로 작성되었으며, 투자 의사결정을 위한 분석 참고 자료입니다. 최종 투자 판단은 전문가 자문을 포함한 독립적 검토 후 이루어져야 합니다.</w:t>
      </w:r>
    </w:p>
    <w:p>
      <w:pPr>
        <w:pStyle w:val="BodyText"/>
      </w:pPr>
      <w:r>
        <w:rPr>
          <w:rFonts w:ascii="Malgun Gothic" w:hAnsi="Malgun Gothic" w:eastAsia="Malgun Gothic" w:cs="Malgun Gothic"/>
          <w:i/>
          <w:iCs/>
        </w:rPr>
        <w:t xml:space="preserve">참조 문서: 사상스마트시티_복합비즈니스센터_투자타당성_평가보고서 v3.1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 w:ascii="Malgun Gothic" w:hAnsi="Malgun Gothic" w:eastAsia="Malgun Gothic" w:cs="Malgun Gothic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Malgun Gothic" w:hAnsi="Malgun Gothic" w:eastAsia="Malgun Gothic" w:cs="Malgun Gothic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 w:ascii="Malgun Gothic" w:hAnsi="Malgun Gothic" w:eastAsia="Malgun Gothic" w:cs="Malgun Gothic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 w:ascii="Malgun Gothic" w:hAnsi="Malgun Gothic" w:eastAsia="Malgun Gothic" w:cs="Malgun Gothic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 w:ascii="Malgun Gothic" w:hAnsi="Malgun Gothic" w:eastAsia="Malgun Gothic" w:cs="Malgun Gothic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  <w:rFonts w:ascii="Malgun Gothic" w:hAnsi="Malgun Gothic" w:eastAsia="Malgun Gothic" w:cs="Malgun Gothic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  <w:rFonts w:ascii="Malgun Gothic" w:hAnsi="Malgun Gothic" w:eastAsia="Malgun Gothic" w:cs="Malgun Gothic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  <w:rFonts w:ascii="Malgun Gothic" w:hAnsi="Malgun Gothic" w:eastAsia="Malgun Gothic" w:cs="Malgun Gothic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  <w:rFonts w:ascii="Malgun Gothic" w:hAnsi="Malgun Gothic" w:eastAsia="Malgun Gothic" w:cs="Malgun Gothic"/>
    </w:rPr>
  </w:style>
  <w:style w:styleId="Bibliography" w:type="paragraph">
    <w:name w:val="Bibliography"/>
    <w:basedOn w:val="Normal"/>
    <w:next w:val="Bibliography"/>
    <w:qFormat/>
    <w:pPr/>
    <w:rPr>
      <w:rFonts w:ascii="Malgun Gothic" w:hAnsi="Malgun Gothic" w:eastAsia="Malgun Gothic" w:cs="Malgun Gothic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Malgun Gothic" w:hAnsi="Malgun Gothic" w:eastAsia="Malgun Gothic" w:cs="Malgun Gothic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Malgun Gothic" w:hAnsi="Malgun Gothic" w:eastAsia="Malgun Gothic" w:cs="Malgun Gothic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Malgun Gothic" w:hAnsi="Malgun Gothic" w:eastAsia="Malgun Gothic" w:cs="Malgun Gothic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ascii="Malgun Gothic" w:hAnsi="Malgun Gothic" w:eastAsia="Malgun Gothic" w:cs="Malgun Gothic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 w:ascii="Malgun Gothic" w:hAnsi="Malgun Gothic" w:eastAsia="Malgun Gothic" w:cs="Malgun Gothic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 w:ascii="Malgun Gothic" w:hAnsi="Malgun Gothic" w:eastAsia="Malgun Gothic" w:cs="Malgun Gothic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 w:ascii="Malgun Gothic" w:hAnsi="Malgun Gothic" w:eastAsia="Malgun Gothic" w:cs="Malgun Gothic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 w:ascii="Malgun Gothic" w:hAnsi="Malgun Gothic" w:eastAsia="Malgun Gothic" w:cs="Malgun Gothic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 w:ascii="Malgun Gothic" w:hAnsi="Malgun Gothic" w:eastAsia="Malgun Gothic" w:cs="Malgun Gothic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 w:ascii="Malgun Gothic" w:hAnsi="Malgun Gothic" w:eastAsia="Malgun Gothic" w:cs="Malgun Gothic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 w:ascii="Malgun Gothic" w:hAnsi="Malgun Gothic" w:eastAsia="Malgun Gothic" w:cs="Malgun Gothic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 w:ascii="Malgun Gothic" w:hAnsi="Malgun Gothic" w:eastAsia="Malgun Gothic" w:cs="Malgun Gothic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 w:ascii="Malgun Gothic" w:hAnsi="Malgun Gothic" w:eastAsia="Malgun Gothic" w:cs="Malgun Gothic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 w:ascii="Malgun Gothic" w:hAnsi="Malgun Gothic" w:eastAsia="Malgun Gothic" w:cs="Malgun Gothic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 w:ascii="Malgun Gothic" w:hAnsi="Malgun Gothic" w:eastAsia="Malgun Gothic" w:cs="Malgun Gothic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 w:ascii="Malgun Gothic" w:hAnsi="Malgun Gothic" w:eastAsia="Malgun Gothic" w:cs="Malgun Gothic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 w:ascii="Malgun Gothic" w:hAnsi="Malgun Gothic" w:eastAsia="Malgun Gothic" w:cs="Malgun Gothic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 w:ascii="Malgun Gothic" w:hAnsi="Malgun Gothic" w:eastAsia="Malgun Gothic" w:cs="Malgun Gothic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rFonts w:ascii="Malgun Gothic" w:hAnsi="Malgun Gothic" w:eastAsia="Malgun Gothic" w:cs="Malgun Gothic"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  <w:rFonts w:ascii="Malgun Gothic" w:hAnsi="Malgun Gothic" w:eastAsia="Malgun Gothic" w:cs="Malgun Gothic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Malgun Gothic" w:hAnsi="Malgun Gothic" w:eastAsia="Malgun Gothic" w:cs="Malgun Gothic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  <w:rFonts w:ascii="Malgun Gothic" w:hAnsi="Malgun Gothic" w:eastAsia="Malgun Gothic" w:cs="Malgun Gothic"/>
    </w:rPr>
  </w:style>
  <w:style w:styleId="Hyperlink" w:type="character">
    <w:name w:val="Hyperlink"/>
    <w:basedOn w:val="BodyTextChar"/>
    <w:rPr>
      <w:color w:themeColor="accent1" w:val="4F81BD"/>
      <w:rFonts w:ascii="Malgun Gothic" w:hAnsi="Malgun Gothic" w:eastAsia="Malgun Gothic" w:cs="Malgun Gothic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Malgun Gothic" w:hAnsi="Malgun Gothic" w:eastAsia="Malgun Gothic" w:cs="Malgun Gothic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  <w:rFonts w:ascii="Malgun Gothic" w:hAnsi="Malgun Gothic" w:eastAsia="Malgun Gothic" w:cs="Malgun Gothic"/>
    </w:rPr>
  </w:style>
  <w:style w:type="character" w:customStyle="1" w:styleId="DataTypeTok">
    <w:name w:val="DataTypeTok"/>
    <w:basedOn w:val="VerbatimChar"/>
    <w:rPr>
      <w:color w:val="902000"/>
      <w:rFonts w:ascii="Malgun Gothic" w:hAnsi="Malgun Gothic" w:eastAsia="Malgun Gothic" w:cs="Malgun Gothic"/>
    </w:rPr>
  </w:style>
  <w:style w:type="character" w:customStyle="1" w:styleId="DecValTok">
    <w:name w:val="DecValTok"/>
    <w:basedOn w:val="VerbatimChar"/>
    <w:rPr>
      <w:color w:val="40a070"/>
      <w:rFonts w:ascii="Malgun Gothic" w:hAnsi="Malgun Gothic" w:eastAsia="Malgun Gothic" w:cs="Malgun Gothic"/>
    </w:rPr>
  </w:style>
  <w:style w:type="character" w:customStyle="1" w:styleId="BaseNTok">
    <w:name w:val="BaseNTok"/>
    <w:basedOn w:val="VerbatimChar"/>
    <w:rPr>
      <w:color w:val="40a070"/>
      <w:rFonts w:ascii="Malgun Gothic" w:hAnsi="Malgun Gothic" w:eastAsia="Malgun Gothic" w:cs="Malgun Gothic"/>
    </w:rPr>
  </w:style>
  <w:style w:type="character" w:customStyle="1" w:styleId="FloatTok">
    <w:name w:val="FloatTok"/>
    <w:basedOn w:val="VerbatimChar"/>
    <w:rPr>
      <w:color w:val="40a070"/>
      <w:rFonts w:ascii="Malgun Gothic" w:hAnsi="Malgun Gothic" w:eastAsia="Malgun Gothic" w:cs="Malgun Gothic"/>
    </w:rPr>
  </w:style>
  <w:style w:type="character" w:customStyle="1" w:styleId="ConstantTok">
    <w:name w:val="ConstantTok"/>
    <w:basedOn w:val="VerbatimChar"/>
    <w:rPr>
      <w:color w:val="880000"/>
      <w:rFonts w:ascii="Malgun Gothic" w:hAnsi="Malgun Gothic" w:eastAsia="Malgun Gothic" w:cs="Malgun Gothic"/>
    </w:rPr>
  </w:style>
  <w:style w:type="character" w:customStyle="1" w:styleId="CharTok">
    <w:name w:val="CharTok"/>
    <w:basedOn w:val="VerbatimChar"/>
    <w:rPr>
      <w:color w:val="4070a0"/>
      <w:rFonts w:ascii="Malgun Gothic" w:hAnsi="Malgun Gothic" w:eastAsia="Malgun Gothic" w:cs="Malgun Gothic"/>
    </w:rPr>
  </w:style>
  <w:style w:type="character" w:customStyle="1" w:styleId="SpecialCharTok">
    <w:name w:val="SpecialCharTok"/>
    <w:basedOn w:val="VerbatimChar"/>
    <w:rPr>
      <w:color w:val="4070a0"/>
      <w:rFonts w:ascii="Malgun Gothic" w:hAnsi="Malgun Gothic" w:eastAsia="Malgun Gothic" w:cs="Malgun Gothic"/>
    </w:rPr>
  </w:style>
  <w:style w:type="character" w:customStyle="1" w:styleId="StringTok">
    <w:name w:val="StringTok"/>
    <w:basedOn w:val="VerbatimChar"/>
    <w:rPr>
      <w:color w:val="4070a0"/>
      <w:rFonts w:ascii="Malgun Gothic" w:hAnsi="Malgun Gothic" w:eastAsia="Malgun Gothic" w:cs="Malgun Gothic"/>
    </w:rPr>
  </w:style>
  <w:style w:type="character" w:customStyle="1" w:styleId="VerbatimStringTok">
    <w:name w:val="VerbatimStringTok"/>
    <w:basedOn w:val="VerbatimChar"/>
    <w:rPr>
      <w:color w:val="4070a0"/>
      <w:rFonts w:ascii="Malgun Gothic" w:hAnsi="Malgun Gothic" w:eastAsia="Malgun Gothic" w:cs="Malgun Gothic"/>
    </w:rPr>
  </w:style>
  <w:style w:type="character" w:customStyle="1" w:styleId="SpecialStringTok">
    <w:name w:val="SpecialStringTok"/>
    <w:basedOn w:val="VerbatimChar"/>
    <w:rPr>
      <w:color w:val="bb6688"/>
      <w:rFonts w:ascii="Malgun Gothic" w:hAnsi="Malgun Gothic" w:eastAsia="Malgun Gothic" w:cs="Malgun Gothic"/>
    </w:rPr>
  </w:style>
  <w:style w:type="character" w:customStyle="1" w:styleId="ImportTok">
    <w:name w:val="ImportTok"/>
    <w:basedOn w:val="VerbatimChar"/>
    <w:rPr>
      <w:b/>
      <w:color w:val="008000"/>
      <w:rFonts w:ascii="Malgun Gothic" w:hAnsi="Malgun Gothic" w:eastAsia="Malgun Gothic" w:cs="Malgun Gothic"/>
    </w:rPr>
  </w:style>
  <w:style w:type="character" w:customStyle="1" w:styleId="CommentTok">
    <w:name w:val="CommentTok"/>
    <w:basedOn w:val="VerbatimChar"/>
    <w:rPr>
      <w:i/>
      <w:color w:val="60a0b0"/>
      <w:rFonts w:ascii="Malgun Gothic" w:hAnsi="Malgun Gothic" w:eastAsia="Malgun Gothic" w:cs="Malgun Gothic"/>
    </w:rPr>
  </w:style>
  <w:style w:type="character" w:customStyle="1" w:styleId="DocumentationTok">
    <w:name w:val="DocumentationTok"/>
    <w:basedOn w:val="VerbatimChar"/>
    <w:rPr>
      <w:i/>
      <w:color w:val="ba2121"/>
      <w:rFonts w:ascii="Malgun Gothic" w:hAnsi="Malgun Gothic" w:eastAsia="Malgun Gothic" w:cs="Malgun Gothic"/>
    </w:rPr>
  </w:style>
  <w:style w:type="character" w:customStyle="1" w:styleId="AnnotationTok">
    <w:name w:val="AnnotationTok"/>
    <w:basedOn w:val="VerbatimChar"/>
    <w:rPr>
      <w:b/>
      <w:i/>
      <w:color w:val="60a0b0"/>
      <w:rFonts w:ascii="Malgun Gothic" w:hAnsi="Malgun Gothic" w:eastAsia="Malgun Gothic" w:cs="Malgun Gothic"/>
    </w:rPr>
  </w:style>
  <w:style w:type="character" w:customStyle="1" w:styleId="CommentVarTok">
    <w:name w:val="CommentVarTok"/>
    <w:basedOn w:val="VerbatimChar"/>
    <w:rPr>
      <w:b/>
      <w:i/>
      <w:color w:val="60a0b0"/>
      <w:rFonts w:ascii="Malgun Gothic" w:hAnsi="Malgun Gothic" w:eastAsia="Malgun Gothic" w:cs="Malgun Gothic"/>
    </w:rPr>
  </w:style>
  <w:style w:type="character" w:customStyle="1" w:styleId="OtherTok">
    <w:name w:val="OtherTok"/>
    <w:basedOn w:val="VerbatimChar"/>
    <w:rPr>
      <w:color w:val="007020"/>
      <w:rFonts w:ascii="Malgun Gothic" w:hAnsi="Malgun Gothic" w:eastAsia="Malgun Gothic" w:cs="Malgun Gothic"/>
    </w:rPr>
  </w:style>
  <w:style w:type="character" w:customStyle="1" w:styleId="FunctionTok">
    <w:name w:val="FunctionTok"/>
    <w:basedOn w:val="VerbatimChar"/>
    <w:rPr>
      <w:color w:val="06287e"/>
      <w:rFonts w:ascii="Malgun Gothic" w:hAnsi="Malgun Gothic" w:eastAsia="Malgun Gothic" w:cs="Malgun Gothic"/>
    </w:rPr>
  </w:style>
  <w:style w:type="character" w:customStyle="1" w:styleId="VariableTok">
    <w:name w:val="VariableTok"/>
    <w:basedOn w:val="VerbatimChar"/>
    <w:rPr>
      <w:color w:val="19177c"/>
      <w:rFonts w:ascii="Malgun Gothic" w:hAnsi="Malgun Gothic" w:eastAsia="Malgun Gothic" w:cs="Malgun Gothic"/>
    </w:rPr>
  </w:style>
  <w:style w:type="character" w:customStyle="1" w:styleId="ControlFlowTok">
    <w:name w:val="ControlFlowTok"/>
    <w:basedOn w:val="VerbatimChar"/>
    <w:rPr>
      <w:b/>
      <w:color w:val="007020"/>
      <w:rFonts w:ascii="Malgun Gothic" w:hAnsi="Malgun Gothic" w:eastAsia="Malgun Gothic" w:cs="Malgun Gothic"/>
    </w:rPr>
  </w:style>
  <w:style w:type="character" w:customStyle="1" w:styleId="OperatorTok">
    <w:name w:val="OperatorTok"/>
    <w:basedOn w:val="VerbatimChar"/>
    <w:rPr>
      <w:color w:val="666666"/>
      <w:rFonts w:ascii="Malgun Gothic" w:hAnsi="Malgun Gothic" w:eastAsia="Malgun Gothic" w:cs="Malgun Gothic"/>
    </w:rPr>
  </w:style>
  <w:style w:type="character" w:customStyle="1" w:styleId="BuiltInTok">
    <w:name w:val="BuiltInTok"/>
    <w:basedOn w:val="VerbatimChar"/>
    <w:rPr>
      <w:color w:val="008000"/>
      <w:rFonts w:ascii="Malgun Gothic" w:hAnsi="Malgun Gothic" w:eastAsia="Malgun Gothic" w:cs="Malgun Gothic"/>
    </w:rPr>
  </w:style>
  <w:style w:type="character" w:customStyle="1" w:styleId="ExtensionTok">
    <w:name w:val="ExtensionTok"/>
    <w:basedOn w:val="VerbatimChar"/>
    <w:rPr>
      <w:rFonts w:ascii="Malgun Gothic" w:hAnsi="Malgun Gothic" w:eastAsia="Malgun Gothic" w:cs="Malgun Gothic"/>
    </w:rPr>
  </w:style>
  <w:style w:type="character" w:customStyle="1" w:styleId="PreprocessorTok">
    <w:name w:val="PreprocessorTok"/>
    <w:basedOn w:val="VerbatimChar"/>
    <w:rPr>
      <w:color w:val="bc7a00"/>
      <w:rFonts w:ascii="Malgun Gothic" w:hAnsi="Malgun Gothic" w:eastAsia="Malgun Gothic" w:cs="Malgun Gothic"/>
    </w:rPr>
  </w:style>
  <w:style w:type="character" w:customStyle="1" w:styleId="AttributeTok">
    <w:name w:val="AttributeTok"/>
    <w:basedOn w:val="VerbatimChar"/>
    <w:rPr>
      <w:color w:val="7d9029"/>
      <w:rFonts w:ascii="Malgun Gothic" w:hAnsi="Malgun Gothic" w:eastAsia="Malgun Gothic" w:cs="Malgun Gothic"/>
    </w:rPr>
  </w:style>
  <w:style w:type="character" w:customStyle="1" w:styleId="RegionMarkerTok">
    <w:name w:val="RegionMarkerTok"/>
    <w:basedOn w:val="VerbatimChar"/>
    <w:rPr>
      <w:rFonts w:ascii="Malgun Gothic" w:hAnsi="Malgun Gothic" w:eastAsia="Malgun Gothic" w:cs="Malgun Gothic"/>
    </w:rPr>
  </w:style>
  <w:style w:type="character" w:customStyle="1" w:styleId="InformationTok">
    <w:name w:val="InformationTok"/>
    <w:basedOn w:val="VerbatimChar"/>
    <w:rPr>
      <w:b/>
      <w:i/>
      <w:color w:val="60a0b0"/>
      <w:rFonts w:ascii="Malgun Gothic" w:hAnsi="Malgun Gothic" w:eastAsia="Malgun Gothic" w:cs="Malgun Gothic"/>
    </w:rPr>
  </w:style>
  <w:style w:type="character" w:customStyle="1" w:styleId="WarningTok">
    <w:name w:val="WarningTok"/>
    <w:basedOn w:val="VerbatimChar"/>
    <w:rPr>
      <w:b/>
      <w:i/>
      <w:color w:val="60a0b0"/>
      <w:rFonts w:ascii="Malgun Gothic" w:hAnsi="Malgun Gothic" w:eastAsia="Malgun Gothic" w:cs="Malgun Gothic"/>
    </w:rPr>
  </w:style>
  <w:style w:type="character" w:customStyle="1" w:styleId="AlertTok">
    <w:name w:val="AlertTok"/>
    <w:basedOn w:val="VerbatimChar"/>
    <w:rPr>
      <w:b/>
      <w:color w:val="ff0000"/>
      <w:rFonts w:ascii="Malgun Gothic" w:hAnsi="Malgun Gothic" w:eastAsia="Malgun Gothic" w:cs="Malgun Gothic"/>
    </w:rPr>
  </w:style>
  <w:style w:type="character" w:customStyle="1" w:styleId="ErrorTok">
    <w:name w:val="ErrorTok"/>
    <w:basedOn w:val="VerbatimChar"/>
    <w:rPr>
      <w:b/>
      <w:color w:val="ff0000"/>
      <w:rFonts w:ascii="Malgun Gothic" w:hAnsi="Malgun Gothic" w:eastAsia="Malgun Gothic" w:cs="Malgun Gothic"/>
    </w:rPr>
  </w:style>
  <w:style w:type="character" w:customStyle="1" w:styleId="NormalTok">
    <w:name w:val="NormalTok"/>
    <w:basedOn w:val="VerbatimChar"/>
    <w:rPr>
      <w:rFonts w:ascii="Malgun Gothic" w:hAnsi="Malgun Gothic" w:eastAsia="Malgun Gothic" w:cs="Malgun Gothic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hyperlink" Target="http://www.iros.go.kr" TargetMode="External"/><Relationship Id="rId19" Type="http://schemas.openxmlformats.org/officeDocument/2006/relationships/hyperlink" Target="mailto:010&#50613;@5.0" TargetMode="External"/><Relationship Id="rId18" Type="http://schemas.openxmlformats.org/officeDocument/2006/relationships/hyperlink" Target="mailto:650&#50613;@2.2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http://www.iros.go.kr" TargetMode="External"/><Relationship Id="rId19" Type="http://schemas.openxmlformats.org/officeDocument/2006/relationships/hyperlink" Target="mailto:010&#50613;@5.0" TargetMode="External"/><Relationship Id="rId18" Type="http://schemas.openxmlformats.org/officeDocument/2006/relationships/hyperlink" Target="mailto:650&#50613;@2.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2026-05-16T07:56:37Z</dcterms:created>
  <dcterms:modified xsi:type="dcterms:W3CDTF">2026-05-16T07:56:37Z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