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8"/>
          <w:szCs w:val="48"/>
        </w:rPr>
        <w:t xml:space="preserve">계약서 리스크 검토 보고서</w:t>
      </w:r>
    </w:p>
    <w:p>
      <w:pPr>
        <w:spacing w:after="40" w:before="0"/>
        <w:jc w:val="center"/>
      </w:pPr>
      <w:r>
        <w:rPr>
          <w:rFonts w:ascii="Arial" w:cs="Arial" w:eastAsia="Arial" w:hAnsi="Arial"/>
          <w:color w:val="2E75B6"/>
          <w:sz w:val="24"/>
          <w:szCs w:val="24"/>
        </w:rPr>
        <w:t xml:space="preserve">베트남 법률 기반 검토 (Vietnamese Law Risk Review)</w:t>
      </w:r>
    </w:p>
    <w:p>
      <w:pPr>
        <w:pBdr>
          <w:bottom w:val="single" w:color="1F4E79" w:sz="8" w:space="4"/>
        </w:pBdr>
        <w:spacing w:after="300" w:before="0"/>
        <w:jc w:val="center"/>
      </w:pPr>
      <w:r>
        <w:rPr>
          <w:sz w:val="22"/>
          <w:szCs w:val="22"/>
        </w:rPr>
        <w:t xml:space="preserve"/>
      </w:r>
    </w:p>
    <w:p>
      <w:pPr>
        <w:pStyle w:val="Heading1"/>
      </w:pPr>
      <w:r>
        <w:t xml:space="preserve">1. 계약 개요</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gridCol w:w="5238"/>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계약명</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HỢP ĐỒNG THI CÔNG NỘI THẤT (인테리어 시공계약)</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계약번호</w:t>
            </w:r>
          </w:p>
        </w:tc>
        <w:tc>
          <w:tcPr>
            <w:tcW w:type="dxa" w:w="52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 S2.1905 – 09.06.2026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발주처 (甲, Bên A)</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M&amp;C Electronics Vina (법인번호: 2300781686)</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수급인 (乙, Bên B)</w:t>
            </w:r>
          </w:p>
        </w:tc>
        <w:tc>
          <w:tcPr>
            <w:tcW w:type="dxa" w:w="52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Doojin Construction Co., Ltd (법인번호: 0107705524)</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공사 목적물</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Sunshine City S2동 1905호 아파트 인테리어</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계약금액</w:t>
            </w:r>
          </w:p>
        </w:tc>
        <w:tc>
          <w:tcPr>
            <w:tcW w:type="dxa" w:w="52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72,017,640 VND (VAT 8% 포함)</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공사 기간</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서명일로부터 15~20 영업일</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하자담보 기간</w:t>
            </w:r>
          </w:p>
        </w:tc>
        <w:tc>
          <w:tcPr>
            <w:tcW w:type="dxa" w:w="52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준공 검수 후 12개월</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결제 구조</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 체결 후 50% 선급 / 준공 검수 후 50% 잔금</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인용 법률</w:t>
            </w:r>
          </w:p>
        </w:tc>
        <w:tc>
          <w:tcPr>
            <w:tcW w:type="dxa" w:w="52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Luật XD 50/QH13, Luật TM 36/2005, Luật DS 33/2005</w:t>
            </w:r>
          </w:p>
        </w:tc>
      </w:tr>
    </w:tbl>
    <w:p>
      <w:pPr>
        <w:spacing w:after="0" w:before="300"/>
      </w:pPr>
      <w:r>
        <w:t xml:space="preserve"/>
      </w:r>
    </w:p>
    <w:p>
      <w:pPr>
        <w:pStyle w:val="Heading1"/>
      </w:pPr>
      <w:r>
        <w:t xml:space="preserve">2. 리스크 종합 현황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5838"/>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구분</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건수</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비율</w:t>
            </w:r>
          </w:p>
        </w:tc>
        <w:tc>
          <w:tcPr>
            <w:tcW w:type="dxa" w:w="5838"/>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주요 리스크 항목</w:t>
            </w:r>
          </w:p>
        </w:tc>
      </w:tr>
      <w:tr>
        <w:tc>
          <w:tcPr>
            <w:tcW w:type="dxa" w:w="30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r>
              <w:rPr>
                <w:rFonts w:ascii="Arial" w:cs="Arial" w:eastAsia="Arial" w:hAnsi="Arial"/>
                <w:b/>
                <w:bCs/>
                <w:color w:val="FF4444"/>
                <w:sz w:val="20"/>
                <w:szCs w:val="20"/>
              </w:rPr>
              <w:t xml:space="preserve">🔴 상 (High)</w:t>
            </w:r>
          </w:p>
        </w:tc>
        <w:tc>
          <w:tcPr>
            <w:tcW w:type="dxa" w:w="30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3건</w:t>
            </w:r>
          </w:p>
        </w:tc>
        <w:tc>
          <w:tcPr>
            <w:tcW w:type="dxa" w:w="30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c>
          <w:tcPr>
            <w:tcW w:type="dxa" w:w="5838"/>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선급금 보증 부재, 연체이자율 초과, 일방적 계약 해제</w:t>
            </w:r>
          </w:p>
        </w:tc>
      </w:tr>
      <w:tr>
        <w:tc>
          <w:tcPr>
            <w:tcW w:type="dxa" w:w="30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r>
              <w:rPr>
                <w:rFonts w:ascii="Arial" w:cs="Arial" w:eastAsia="Arial" w:hAnsi="Arial"/>
                <w:b/>
                <w:bCs/>
                <w:color w:val="FF8C00"/>
                <w:sz w:val="20"/>
                <w:szCs w:val="20"/>
              </w:rPr>
              <w:t xml:space="preserve">🟠 중 (Medium)</w:t>
            </w:r>
          </w:p>
        </w:tc>
        <w:tc>
          <w:tcPr>
            <w:tcW w:type="dxa" w:w="30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7건</w:t>
            </w:r>
          </w:p>
        </w:tc>
        <w:tc>
          <w:tcPr>
            <w:tcW w:type="dxa" w:w="30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54%</w:t>
            </w:r>
          </w:p>
        </w:tc>
        <w:tc>
          <w:tcPr>
            <w:tcW w:type="dxa" w:w="5838"/>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조항 문구 오류, VAT 오기재, 분쟁해결 조항 부재 등</w:t>
            </w:r>
          </w:p>
        </w:tc>
      </w:tr>
      <w:tr>
        <w:tc>
          <w:tcPr>
            <w:tcW w:type="dxa" w:w="3000"/>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r>
              <w:rPr>
                <w:rFonts w:ascii="Arial" w:cs="Arial" w:eastAsia="Arial" w:hAnsi="Arial"/>
                <w:b/>
                <w:bCs/>
                <w:color w:val="2E9B3C"/>
                <w:sz w:val="20"/>
                <w:szCs w:val="20"/>
              </w:rPr>
              <w:t xml:space="preserve">🟢 하 (Low)</w:t>
            </w:r>
          </w:p>
        </w:tc>
        <w:tc>
          <w:tcPr>
            <w:tcW w:type="dxa" w:w="3000"/>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3건</w:t>
            </w:r>
          </w:p>
        </w:tc>
        <w:tc>
          <w:tcPr>
            <w:tcW w:type="dxa" w:w="3000"/>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c>
          <w:tcPr>
            <w:tcW w:type="dxa" w:w="5838"/>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하자담보 기간, 시공기준 도면 미첨부, 구법 인용</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000000"/>
                <w:sz w:val="20"/>
                <w:szCs w:val="20"/>
              </w:rPr>
              <w:t xml:space="preserve">합 계</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000000"/>
                <w:sz w:val="20"/>
                <w:szCs w:val="20"/>
              </w:rPr>
              <w:t xml:space="preserve">13건</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000000"/>
                <w:sz w:val="20"/>
                <w:szCs w:val="20"/>
              </w:rPr>
              <w:t xml:space="preserve">100%</w:t>
            </w:r>
          </w:p>
        </w:tc>
        <w:tc>
          <w:tcPr>
            <w:tcW w:type="dxa" w:w="583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after="0" w:before="300"/>
      </w:pPr>
      <w:r>
        <w:t xml:space="preserve"/>
      </w:r>
    </w:p>
    <w:p>
      <w:pPr>
        <w:pStyle w:val="Heading1"/>
      </w:pPr>
      <w:r>
        <w:t xml:space="preserve">3. 세부 리스크 검토 내역</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000"/>
        <w:gridCol w:w="800"/>
        <w:gridCol w:w="5038"/>
        <w:gridCol w:w="600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항목</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관련 조항</w:t>
            </w:r>
          </w:p>
        </w:tc>
        <w:tc>
          <w:tcPr>
            <w:tcW w:type="dxa" w:w="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위험도</w:t>
            </w:r>
          </w:p>
        </w:tc>
        <w:tc>
          <w:tcPr>
            <w:tcW w:type="dxa" w:w="5038"/>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문제점 및 분석</w:t>
            </w:r>
          </w:p>
        </w:tc>
        <w:tc>
          <w:tcPr>
            <w:tcW w:type="dxa" w:w="6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권고 조치사항</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구법(舊法) 인용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전문</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계약서가 Luật Dân sự 33/2005(민법), Luật Xây dựng 50/QH13(2014)을 근거로 기재하고 있으나, 현행 유효 법률은 Luật Dân sự 91/2015/QH13(2015 민법), Luật Xây dựng 62/2020/QH14(2020 건설법)임. 구법 인용은 계약 해석 시 분쟁 소지 발생.</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계약서 전문의 법적 근거를 현행 법률로 수정 요청</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50% 선급금 보증 장치 부재</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제2조 2.2항</w:t>
            </w:r>
          </w:p>
        </w:tc>
        <w:tc>
          <w:tcPr>
            <w:tcW w:type="dxa" w:w="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pPr>
              <w:jc w:val="center"/>
            </w:pPr>
            <w:r>
              <w:rPr>
                <w:rFonts w:ascii="Arial" w:cs="Arial" w:eastAsia="Arial" w:hAnsi="Arial"/>
                <w:b/>
                <w:bCs/>
                <w:color w:val="FF4444"/>
                <w:sz w:val="20"/>
                <w:szCs w:val="20"/>
              </w:rPr>
              <w:t xml:space="preserve">상</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 체결 직후 총계약금액의 50%(36,008,820 VND)를 선급하도록 규정되어 있으나, 선급금 환급 보증(advance payment guarantee) 조항이 없음. B사의 시공 포기·도산 시 선급금 회수 불가 리스크 높음.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선급금 환급 보증서(보증보험 또는 은행 보증) 제출 조건 추가 협의</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연체이자율 법정 상한 초과</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제4조 4.2항</w:t>
            </w:r>
          </w:p>
        </w:tc>
        <w:tc>
          <w:tcPr>
            <w:tcW w:type="dxa" w:w="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pPr>
              <w:jc w:val="center"/>
            </w:pPr>
            <w:r>
              <w:rPr>
                <w:rFonts w:ascii="Arial" w:cs="Arial" w:eastAsia="Arial" w:hAnsi="Arial"/>
                <w:b/>
                <w:bCs/>
                <w:color w:val="FF4444"/>
                <w:sz w:val="20"/>
                <w:szCs w:val="20"/>
              </w:rPr>
              <w:t xml:space="preserve">상</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당사(A) 지급 지연 시 '1% × 연체금액 × 연체일수' 적용. 이는 연 365%에 상당하며, 베트남 민법 제468조에서 정하는 연 20% 이자 상한을 현저히 초과함. 법원에서 해당 조항이 무효 처리될 수 있으나, 분쟁 과정에서 당사에 불리하게 작용할 리스크 존재.</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연체이자율을 민법 상한(연 20% / 월 약 1.67%) 수준으로 조정 협의</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일방적 계약 해제 사유 (5일 유예)</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제4조 4.2항</w:t>
            </w:r>
          </w:p>
        </w:tc>
        <w:tc>
          <w:tcPr>
            <w:tcW w:type="dxa" w:w="800"/>
            <w:tcBorders>
              <w:top w:val="single" w:color="CCCCCC" w:sz="1"/>
              <w:left w:val="single" w:color="CCCCCC" w:sz="1"/>
              <w:bottom w:val="single" w:color="CCCCCC" w:sz="1"/>
              <w:right w:val="single" w:color="CCCCCC" w:sz="1"/>
            </w:tcBorders>
            <w:shd w:fill="FFECEC" w:val="clear"/>
            <w:tcMar>
              <w:top w:type="dxa" w:w="80"/>
              <w:left w:type="dxa" w:w="120"/>
              <w:bottom w:type="dxa" w:w="80"/>
              <w:right w:type="dxa" w:w="120"/>
            </w:tcMar>
            <w:vAlign w:val="center"/>
          </w:tcPr>
          <w:p>
            <w:pPr>
              <w:jc w:val="center"/>
            </w:pPr>
            <w:r>
              <w:rPr>
                <w:rFonts w:ascii="Arial" w:cs="Arial" w:eastAsia="Arial" w:hAnsi="Arial"/>
                <w:b/>
                <w:bCs/>
                <w:color w:val="FF4444"/>
                <w:sz w:val="20"/>
                <w:szCs w:val="20"/>
              </w:rPr>
              <w:t xml:space="preserve">상</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B사는 당사가 5일 이상 지급을 지연할 경우 일방적으로 계약 해제 및 소송 제기 가능. 베트남 상법 제312조 및 민법상 '합리적인 이행 촉구 기간' 원칙에 비해 지나치게 짧은 기간으로 당사에 불리함.</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일방적 계약 해제 전 이행 촉구 기간을 최소 15~30일로 연장 협의</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지연 패널티 조항 문구 오류</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제5조 5.1항</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제5조 5.1항 마지막 문장에서 '만약 B가 기한 내 지급하지 않으면 총계약금액의 3% 위약금'이라고 기재되어 있으나, 문맥상 A(당사)가 지급 의무자임. 계약서 상 주어(bên B → bên A)가 잘못 기재된 것으로 보임. 해석 분쟁 시 당사에게 불리하게 활용될 가능성 존재.</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해당 조항의 주어(bên B → bên A)를 명확히 수정 요청</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설계 변경 시 기시공 비용 전액 당사 부담</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제5조 5.1항</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당사가 설계를 변경할 경우 B사가 이미 시공한 부분의 전체 비용을 당사가 전액 부담해야 하며, 추가로 신설계에 따른 변경 비용도 협의해야 함. 설계 변경 범위가 불명확할 경우 과도한 비용 청구 가능성 있음.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설계 변경 허용 범위 및 기시공 비용 산정 기준을 계약서에 명시</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3D 설계 수정 초과 시 150% 추가 요금</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제3조 3.1항</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3D 설계 수정은 3회, 총 물량의 30% 이내로 제한되며, 초과 시 재설계 면적 × 단가 × 150%를 청구함. 수정 횟수·범위 측정 기준이 명시되지 않아 분쟁 소지 있음.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수정 횟수 카운팅 기준 및 면적 측정 방법 명시 요청</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VAT 세율 오기재 리스크</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제2조 2.1항</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계약서에 8% VAT 적용으로 기재됨. 베트남의 건설·인테리어 서비스 표준 VAT는 10%이며, 8%는 한시적 감면세율(2022~2024)임. 2026년 현재 10% 환원 여부 확인 필요. 세율 변경 시 추가 부담 주체가 불명확.</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현행 VAT 세율(10%) 적용 여부 확인 및 세율 변동에 따른 비용 부담 조항 추가</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시장 변동을 준(準)불가항력으로 인정</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제6조</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시장 변동으로 인한 자재 구매 어려움 시 B사 요청에 따라 자재·가격 변경 협의 의무가 발생함. 이는 사실상 계약 금액·사양 변경 근거로 활용될 수 있어, 계약 금액 증가 리스크 존재.</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자재 변경 조건을 구체화하고, 가격 조정 상한선(예: 총계약금액의 5%) 설정</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분쟁 해결 조항 부재</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제4조/제5조</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계약서 어디에도 분쟁 해결 방법(조정, 중재, 소송 관할)이 명시되지 않음. 소송 제기 언급만 있을 뿐, 관할 법원이나 중재기관이 지정되지 않아 분쟁 발생 시 절차 불명확.</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분쟁 해결 조항 추가 (예: 하노이 인민법원 관할 또는 VIAC 중재)</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시공이행보증 부재</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전반</w:t>
            </w:r>
          </w:p>
        </w:tc>
        <w:tc>
          <w:tcPr>
            <w:tcW w:type="dxa" w:w="800"/>
            <w:tcBorders>
              <w:top w:val="single" w:color="CCCCCC" w:sz="1"/>
              <w:left w:val="single" w:color="CCCCCC" w:sz="1"/>
              <w:bottom w:val="single" w:color="CCCCCC" w:sz="1"/>
              <w:right w:val="single" w:color="CCCCCC" w:sz="1"/>
            </w:tcBorders>
            <w:shd w:fill="FFF4E5" w:val="clear"/>
            <w:tcMar>
              <w:top w:type="dxa" w:w="80"/>
              <w:left w:type="dxa" w:w="120"/>
              <w:bottom w:type="dxa" w:w="80"/>
              <w:right w:type="dxa" w:w="120"/>
            </w:tcMar>
            <w:vAlign w:val="center"/>
          </w:tcPr>
          <w:p>
            <w:pPr>
              <w:jc w:val="center"/>
            </w:pPr>
            <w:r>
              <w:rPr>
                <w:rFonts w:ascii="Arial" w:cs="Arial" w:eastAsia="Arial" w:hAnsi="Arial"/>
                <w:b/>
                <w:bCs/>
                <w:color w:val="FF8C00"/>
                <w:sz w:val="20"/>
                <w:szCs w:val="20"/>
              </w:rPr>
              <w:t xml:space="preserve">중</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시공 완료 이행보증, 하자보수보증 등 계약 이행을 담보하는 보증 장치가 전혀 없음. B사 부도·시공 포기 시 당사의 피해를 보전할 수단이 없음.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계약이행보증서(총계약금액의 10~15%) 또는 하자보수보증금 조항 추가 협의</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하자담보책임 기간 미흡</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제4조 4.1항</w:t>
            </w:r>
          </w:p>
        </w:tc>
        <w:tc>
          <w:tcPr>
            <w:tcW w:type="dxa" w:w="800"/>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pPr>
              <w:jc w:val="center"/>
            </w:pPr>
            <w:r>
              <w:rPr>
                <w:rFonts w:ascii="Arial" w:cs="Arial" w:eastAsia="Arial" w:hAnsi="Arial"/>
                <w:b/>
                <w:bCs/>
                <w:color w:val="2E9B3C"/>
                <w:sz w:val="20"/>
                <w:szCs w:val="20"/>
              </w:rPr>
              <w:t xml:space="preserve">하</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하자담보 기간 12개월은 베트남 건설법 제85조 및 관련 시행령(Nghị định 06/2021)에서 권고하는 인테리어 공사 최소 24개월에 미달함. 또한 '사용자 과실' 면책 범위가 불명확하여 분쟁 소지 있음.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하자담보 기간을 24개월로 연장 협의, '사용자 과실' 면책 기준 명시</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시공 기준 도면 첨부 불명확</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제1조/제4조</w:t>
            </w:r>
          </w:p>
        </w:tc>
        <w:tc>
          <w:tcPr>
            <w:tcW w:type="dxa" w:w="800"/>
            <w:tcBorders>
              <w:top w:val="single" w:color="CCCCCC" w:sz="1"/>
              <w:left w:val="single" w:color="CCCCCC" w:sz="1"/>
              <w:bottom w:val="single" w:color="CCCCCC" w:sz="1"/>
              <w:right w:val="single" w:color="CCCCCC" w:sz="1"/>
            </w:tcBorders>
            <w:shd w:fill="EDFFF1" w:val="clear"/>
            <w:tcMar>
              <w:top w:type="dxa" w:w="80"/>
              <w:left w:type="dxa" w:w="120"/>
              <w:bottom w:type="dxa" w:w="80"/>
              <w:right w:type="dxa" w:w="120"/>
            </w:tcMar>
            <w:vAlign w:val="center"/>
          </w:tcPr>
          <w:p>
            <w:pPr>
              <w:jc w:val="center"/>
            </w:pPr>
            <w:r>
              <w:rPr>
                <w:rFonts w:ascii="Arial" w:cs="Arial" w:eastAsia="Arial" w:hAnsi="Arial"/>
                <w:b/>
                <w:bCs/>
                <w:color w:val="2E9B3C"/>
                <w:sz w:val="20"/>
                <w:szCs w:val="20"/>
              </w:rPr>
              <w:t xml:space="preserve">하</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계약서에 '승인된 시공 도면에 따라 시공'이라고 규정되어 있으나, 해당 도면이 계약서 부속서로 첨부되었는지 불명확함. 도면 미첨부 시 시공 품질 기준 분쟁 소지 있음.</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시공 도면 및 자재 사양서를 계약 부속서로 반드시 첨부</w:t>
            </w:r>
          </w:p>
        </w:tc>
      </w:tr>
    </w:tbl>
    <w:p>
      <w:r>
        <w:br w:type="page"/>
      </w:r>
    </w:p>
    <w:p>
      <w:pPr>
        <w:pStyle w:val="Heading1"/>
      </w:pPr>
      <w:r>
        <w:t xml:space="preserve">4. 종합 의견 및 대응 방향</w:t>
      </w:r>
    </w:p>
    <w:p>
      <w:pPr>
        <w:pStyle w:val="Heading2"/>
      </w:pPr>
      <w:r>
        <w:t xml:space="preserve">4.1 즉시 협의 필요 사항 (상 등급 리스크)</w:t>
      </w:r>
    </w:p>
    <w:p>
      <w:pPr>
        <w:pStyle w:val="ListParagraph"/>
        <w:numPr>
          <w:ilvl w:val="0"/>
          <w:numId w:val="2"/>
        </w:numPr>
        <w:spacing w:after="60" w:before="60"/>
      </w:pPr>
      <w:r>
        <w:rPr>
          <w:rFonts w:ascii="Arial" w:cs="Arial" w:eastAsia="Arial" w:hAnsi="Arial"/>
          <w:sz w:val="22"/>
          <w:szCs w:val="22"/>
        </w:rPr>
        <w:t xml:space="preserve">[선급금 보증] 계약 체결 전, B사로부터 선급금 36,008,820 VND에 상당하는 보증서(Shinhan Bank 또는 보증보험) 수취를 선결 조건으로 요구할 것.</w:t>
      </w:r>
    </w:p>
    <w:p>
      <w:pPr>
        <w:pStyle w:val="ListParagraph"/>
        <w:numPr>
          <w:ilvl w:val="0"/>
          <w:numId w:val="2"/>
        </w:numPr>
        <w:spacing w:after="60" w:before="60"/>
      </w:pPr>
      <w:r>
        <w:rPr>
          <w:rFonts w:ascii="Arial" w:cs="Arial" w:eastAsia="Arial" w:hAnsi="Arial"/>
          <w:sz w:val="22"/>
          <w:szCs w:val="22"/>
        </w:rPr>
        <w:t xml:space="preserve">[연체이자율] 제4조 4.2항의 '1%/일' 이자 조항을 민법 상한인 '연 20%(월 약 1.67%)' 수준으로 수정하지 않으면 서명 거부 또는 계약 수정 요청.</w:t>
      </w:r>
    </w:p>
    <w:p>
      <w:pPr>
        <w:pStyle w:val="ListParagraph"/>
        <w:numPr>
          <w:ilvl w:val="0"/>
          <w:numId w:val="2"/>
        </w:numPr>
        <w:spacing w:after="60" w:before="60"/>
      </w:pPr>
      <w:r>
        <w:rPr>
          <w:rFonts w:ascii="Arial" w:cs="Arial" w:eastAsia="Arial" w:hAnsi="Arial"/>
          <w:sz w:val="22"/>
          <w:szCs w:val="22"/>
        </w:rPr>
        <w:t xml:space="preserve">[계약 해제 유예기간] 지급 지연에 따른 일방적 계약 해제 유예기간을 5일에서 최소 15~30일로 연장 협의.</w:t>
      </w:r>
    </w:p>
    <w:p>
      <w:pPr>
        <w:pStyle w:val="Heading2"/>
      </w:pPr>
      <w:r>
        <w:t xml:space="preserve">4.2 계약서 수정 요청 사항 (중 등급 리스크)</w:t>
      </w:r>
    </w:p>
    <w:p>
      <w:pPr>
        <w:pStyle w:val="ListParagraph"/>
        <w:numPr>
          <w:ilvl w:val="0"/>
          <w:numId w:val="2"/>
        </w:numPr>
        <w:spacing w:after="60" w:before="60"/>
      </w:pPr>
      <w:r>
        <w:rPr>
          <w:rFonts w:ascii="Arial" w:cs="Arial" w:eastAsia="Arial" w:hAnsi="Arial"/>
          <w:sz w:val="22"/>
          <w:szCs w:val="22"/>
        </w:rPr>
        <w:t xml:space="preserve">[조항 오류 정정] 제5조 5.1항의 'bên B không thanh toán'을 'bên A không thanh toán'으로 수정하여 지급 의무자를 명확히 할 것.</w:t>
      </w:r>
    </w:p>
    <w:p>
      <w:pPr>
        <w:pStyle w:val="ListParagraph"/>
        <w:numPr>
          <w:ilvl w:val="0"/>
          <w:numId w:val="2"/>
        </w:numPr>
        <w:spacing w:after="60" w:before="60"/>
      </w:pPr>
      <w:r>
        <w:rPr>
          <w:rFonts w:ascii="Arial" w:cs="Arial" w:eastAsia="Arial" w:hAnsi="Arial"/>
          <w:sz w:val="22"/>
          <w:szCs w:val="22"/>
        </w:rPr>
        <w:t xml:space="preserve">[VAT 세율] 현행 베트남 건설 서비스 VAT(10%) 여부를 확인하고, 계약서 세율을 실제 적용 세율로 수정. 세율 변동 시 차액 부담 주체 명시.</w:t>
      </w:r>
    </w:p>
    <w:p>
      <w:pPr>
        <w:pStyle w:val="ListParagraph"/>
        <w:numPr>
          <w:ilvl w:val="0"/>
          <w:numId w:val="2"/>
        </w:numPr>
        <w:spacing w:after="60" w:before="60"/>
      </w:pPr>
      <w:r>
        <w:rPr>
          <w:rFonts w:ascii="Arial" w:cs="Arial" w:eastAsia="Arial" w:hAnsi="Arial"/>
          <w:sz w:val="22"/>
          <w:szCs w:val="22"/>
        </w:rPr>
        <w:t xml:space="preserve">[분쟁 해결] 하노이 인민법원 1심 관할 또는 VIAC(베트남 국제중재센터) 중재 조항 추가.</w:t>
      </w:r>
    </w:p>
    <w:p>
      <w:pPr>
        <w:pStyle w:val="ListParagraph"/>
        <w:numPr>
          <w:ilvl w:val="0"/>
          <w:numId w:val="2"/>
        </w:numPr>
        <w:spacing w:after="60" w:before="60"/>
      </w:pPr>
      <w:r>
        <w:rPr>
          <w:rFonts w:ascii="Arial" w:cs="Arial" w:eastAsia="Arial" w:hAnsi="Arial"/>
          <w:sz w:val="22"/>
          <w:szCs w:val="22"/>
        </w:rPr>
        <w:t xml:space="preserve">[자재 변경 한도] 제6조 시장 변동에 따른 자재·가격 변경 시, 당사 서면 동의 없이 변경 불가 및 가격 조정 상한선(예: 총계약금액의 5%) 명시.</w:t>
      </w:r>
    </w:p>
    <w:p>
      <w:pPr>
        <w:pStyle w:val="ListParagraph"/>
        <w:numPr>
          <w:ilvl w:val="0"/>
          <w:numId w:val="2"/>
        </w:numPr>
        <w:spacing w:after="60" w:before="60"/>
      </w:pPr>
      <w:r>
        <w:rPr>
          <w:rFonts w:ascii="Arial" w:cs="Arial" w:eastAsia="Arial" w:hAnsi="Arial"/>
          <w:sz w:val="22"/>
          <w:szCs w:val="22"/>
        </w:rPr>
        <w:t xml:space="preserve">[시공이행보증] 계약금액의 10% 이상 시공이행보증서 또는 하자보수보증금 납부 요청.</w:t>
      </w:r>
    </w:p>
    <w:p>
      <w:pPr>
        <w:pStyle w:val="Heading2"/>
      </w:pPr>
      <w:r>
        <w:t xml:space="preserve">4.3 서명 전 확인 사항 (하 등급 리스크)</w:t>
      </w:r>
    </w:p>
    <w:p>
      <w:pPr>
        <w:pStyle w:val="ListParagraph"/>
        <w:numPr>
          <w:ilvl w:val="0"/>
          <w:numId w:val="2"/>
        </w:numPr>
        <w:spacing w:after="60" w:before="60"/>
      </w:pPr>
      <w:r>
        <w:rPr>
          <w:rFonts w:ascii="Arial" w:cs="Arial" w:eastAsia="Arial" w:hAnsi="Arial"/>
          <w:sz w:val="22"/>
          <w:szCs w:val="22"/>
        </w:rPr>
        <w:t xml:space="preserve">[법률 근거] 계약서 전문의 인용 법률을 현행 법률(Luật Dân sự 91/2015, Luật Xây dựng 62/2020)로 수정.</w:t>
      </w:r>
    </w:p>
    <w:p>
      <w:pPr>
        <w:pStyle w:val="ListParagraph"/>
        <w:numPr>
          <w:ilvl w:val="0"/>
          <w:numId w:val="2"/>
        </w:numPr>
        <w:spacing w:after="60" w:before="60"/>
      </w:pPr>
      <w:r>
        <w:rPr>
          <w:rFonts w:ascii="Arial" w:cs="Arial" w:eastAsia="Arial" w:hAnsi="Arial"/>
          <w:sz w:val="22"/>
          <w:szCs w:val="22"/>
        </w:rPr>
        <w:t xml:space="preserve">[하자담보 기간] 12개월을 24개월로 연장 협의. '사용자 과실' 면책 기준 구체적 열거 방식으로 명시.</w:t>
      </w:r>
    </w:p>
    <w:p>
      <w:pPr>
        <w:pStyle w:val="ListParagraph"/>
        <w:numPr>
          <w:ilvl w:val="0"/>
          <w:numId w:val="2"/>
        </w:numPr>
        <w:spacing w:after="60" w:before="60"/>
      </w:pPr>
      <w:r>
        <w:rPr>
          <w:rFonts w:ascii="Arial" w:cs="Arial" w:eastAsia="Arial" w:hAnsi="Arial"/>
          <w:sz w:val="22"/>
          <w:szCs w:val="22"/>
        </w:rPr>
        <w:t xml:space="preserve">[도면 첨부] 시공 도면, 자재 사양서, 견적서를 계약 부속서(Phụ lục hợp đồng)로 정식 편철 후 서명.</w:t>
      </w:r>
    </w:p>
    <w:p>
      <w:pPr>
        <w:pBdr>
          <w:top w:val="single" w:color="1F4E79" w:sz="4" w:space="4"/>
        </w:pBdr>
        <w:spacing w:after="120" w:before="240"/>
      </w:pPr>
      <w:r>
        <w:rPr>
          <w:rFonts w:ascii="Arial" w:cs="Arial" w:eastAsia="Arial" w:hAnsi="Arial"/>
          <w:i/>
          <w:iCs/>
          <w:color w:val="666666"/>
          <w:sz w:val="18"/>
          <w:szCs w:val="18"/>
        </w:rPr>
        <w:t xml:space="preserve">※ 본 검토 보고서는 당사 내부 검토 목적으로 작성되었으며, 최종 계약 체결 전 현지 법무팀 또는 베트남 법률 전문가의 추가 검토를 권고합니다.</w:t>
      </w:r>
    </w:p>
    <w:sectPr>
      <w:headerReference w:type="default" r:id="rId7"/>
      <w:footerReference w:type="default" r:id="rId8"/>
      <w:pgSz w:w="16838" w:h="11906"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888888"/>
        <w:sz w:val="16"/>
        <w:szCs w:val="16"/>
      </w:rPr>
      <w:t xml:space="preserve">M&amp;C Electronics Vina – 내부 검토용 기밀문서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4400"/>
      </w:tabs>
    </w:pPr>
    <w:r>
      <w:rPr>
        <w:rFonts w:ascii="Arial" w:cs="Arial" w:eastAsia="Arial" w:hAnsi="Arial"/>
        <w:b/>
        <w:bCs/>
        <w:color w:val="1F4E79"/>
        <w:sz w:val="18"/>
        <w:szCs w:val="18"/>
      </w:rPr>
      <w:t xml:space="preserve">계약서 리스크 검토 보고서  |  HỢP ĐỒNG THI CÔNG NỘI THẤT – DJ S2.1905</w:t>
    </w:r>
    <w:r>
      <w:rPr>
        <w:rFonts w:ascii="Arial" w:cs="Arial" w:eastAsia="Arial" w:hAnsi="Arial"/>
        <w:color w:val="888888"/>
        <w:sz w:val="18"/>
        <w:szCs w:val="18"/>
      </w:rPr>
      <w:t xml:space="preserve">	검토일: 2026.06.16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2026-06-16T10:17:45.690Z</dcterms:created>
  <dcterms:modified xsi:type="dcterms:W3CDTF">2026-06-16T10:17:45.690Z</dcterms:modified>
</cp:coreProperties>
</file>

<file path=docProps/custom.xml><?xml version="1.0" encoding="utf-8"?>
<Properties xmlns="http://schemas.openxmlformats.org/officeDocument/2006/custom-properties" xmlns:vt="http://schemas.openxmlformats.org/officeDocument/2006/docPropsVTypes"/>
</file>