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계약서 법률 검토 의견서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— 베트남 법률 기준 —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柔性自动化销售合同 V3.0 (유연제조 자동화 시스템 판매·서비스 계약)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 대상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柔性自动化销售合同_V3.0.docx (중국어 원문, 매도인 작성안)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매도인(乙方)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深圳模德宝科技有限公司 (선전 모더바오과기유한공사, 중국 선전)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매수인(甲方)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현지법인 (계약서상 공란 — 보완 필요) / 설비 베트남 수입·설치·사용 전제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계약 총액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RMB 2,780,000 (13% 중국 증치세 포함) / 미세포함액 RMB 2,460,177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계약서상 준거법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중화인민공화국 법률 (제1.4조)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 기준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민법(2015), 상법(2005), 대외무역관리법, 외환관리법령, 외국계약자세 규정 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검토일 / 작성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2026-05-23 / 계약 검토 보조 (참고용, 변호사 자문 아님)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검토 개요 및 전제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의견서는 위 계약서를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베트남 현지법인이 매수인(甲方)이 되어 설비를 베트남으로 수입·설치·사용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하는 것을 전제로, 베트남 법률 관점에서 검토한 결과입니다. 계약서는 중국 매도인이 작성한 표준안으로 보이며, 전반적으로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매도인에게 유리하게</w:t>
      </w:r>
      <w:r>
        <w:rPr>
          <w:rFonts w:ascii="Malgun Gothic" w:cs="Malgun Gothic" w:eastAsia="Malgun Gothic" w:hAnsi="Malgun Gothic"/>
          <w:sz w:val="22"/>
          <w:szCs w:val="22"/>
        </w:rPr>
        <w:t xml:space="preserve"> 구성되어 있습니다.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가장 중요한 구조적 문제는 두 가지입니다. 첫째, 준거법이 중국법으로 지정되어 있고 분쟁해결(법원·중재) 조항 자체가 누락되어 있어, 분쟁 시 베트남 매수인이 매우 불리합니다. 둘째, 가격에 중국 내수용 증치세 13%가 포함되어 있고 베트남에서 발생하는 외국계약자세(FCT)·수입 부가세·통관비용의 부담 주체가 전혀 정해져 있지 않아, 베트남 매수인이 예상치 못한 추가 세부담과 이중과세 위험에 노출됩니다.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※ 베트남법상 당사자는 외국적 요소가 있는 계약에서 외국법(중국법)을 준거법으로 합의할 수 있으나, </w:t>
      </w:r>
      <w:r>
        <w:rPr>
          <w:rFonts w:ascii="Malgun Gothic" w:cs="Malgun Gothic" w:eastAsia="Malgun Gothic" w:hAnsi="Malgun Gothic"/>
          <w:b/>
          <w:bCs/>
          <w:i/>
          <w:iCs/>
          <w:color w:val="595959"/>
          <w:sz w:val="20"/>
          <w:szCs w:val="20"/>
        </w:rPr>
        <w:t xml:space="preserve">수입통관·세무·외환 등 베트남의 강행규정은 준거법 선택과 무관하게 그대로 적용</w:t>
      </w: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핵심 결론 요약 (위험 등급표)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표는 주요 쟁점을 위험도 순으로 정리한 것입니다. 상세 분석은 제3장을 참고하십시오.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쟁점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요지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분쟁해결 조항 부재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중대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준거법은 중국법인데 관할법원·중재 조항이 전혀 없음. 중국 법원 판결은 베트남에서 집행 곤란.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준거법(중국법) 지정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매수인에게 불리. 신뢰성 위해 중립 중재 + 적용법 재협상 권고.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세금 부담 미배분(FCT·VAT)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중대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설치·교육·시운전은 외국계약자세 과세대상. 부담 주체 미정 → 매수인 부담 위험.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중국 증치세 13% 포함 가격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수출거래에 중국 내수 증치세 부과는 부적절. 베트남 수입VAT와 이중과세 소지.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인도조건·소유권/위험이전 불명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‘국내 항구까지만 운송’ 외 Incoterms·소유권 이전시점 미규정.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선급금 과다(하드웨어 90% 선지급)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검수 전 90% 지급 구조. 이행보증·검수연동 필요.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검수 간주 조항(5.3)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기한 내 미검수 시 합격 간주. 베트남 매수인에 불리.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보증·책임제한 협소(12조)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무상보증 1년, 책임은 ‘해당 기계 경제손실’로만 한정.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계약 언어(중국어 단일)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통관·세무·회계상 베트남어/이중언어본 필요.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당사자 정보 공란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甲方 법인명·납세코드·대표자·주소 미기재.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위약·손해배상 기준 모호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48235"/>
                <w:sz w:val="20"/>
                <w:szCs w:val="20"/>
              </w:rPr>
              <w:t xml:space="preserve">낮음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구체적 위약금률 없음. 베트남법 적용 시 위약벌 8% 상한.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조항별 상세 검토 및 수정 권고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3.1 준거법 및 분쟁해결 (최우선)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제1.4조는 계약의 해석·당사자 관계가 ‘중화인민공화국 법률’의 적용을 받는다고 규정합니다. 그러나 계약서 전체에 관할 법원이나 중재기관을 정한 분쟁해결 조항이 존재하지 않습니다(제11조는 ‘본 계약이 정한 분쟁해결 대책에 따른다’고만 하고 그 대책 자체가 없음).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베트남법은 외국적 요소가 있는 계약에서 외국법 합의를 허용하므로 중국법 지정 자체는 무효가 아닙니다. 다만 ① 중국 법원의 확정판결은 베트남에서 집행이 매우 어렵습니다(외국 ‘판결’은 원칙적 비집행). 반면 ② 뉴욕협약(베트남 1995년 가입)에 따른 외국 ‘중재판정’은 베트남에서 승인·집행이 가능합니다. 현 상태로는 분쟁 시 베트남 매수인이 중국 현지에서 다퉈야 할 가능성이 크고, 베트남 내 자산에 대한 집행 실효성도 불투명합니다.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관할이 아닌 ‘중재’ 조항을 신설할 것 — 예: 싱가포르 SIAC 또는 홍콩 HKIAC(중립지), 영어 또는 영·중 병기, 중재인 수·언어 명시.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 당사자 모두 뉴욕협약 가입국이므로 중재판정은 중국·베트남 양쪽에서 집행 가능 → 매수인 보호에 유리.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준거법은 가능하면 베트남법 또는 중립국법(예: 싱가포르법)으로 재협상. 최소한 중재지·중재규칙은 반드시 명시.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분쟁해결 언어를 명확히 하고, 통지(제1.4조 ‘通告’)의 유효 주소·이메일을 매수인 베트남 주소로 정확히 기재.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3.2 인도조건·통관·소유권 및 위험 이전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부속표(三)에 ‘운송비는 중국 국내 항구까지만 부담(运输至国内港口)’이라고만 되어 있고, 정식 Incoterms(FOB/CIF/DDP 등), 소유권 이전 시점, 위험 부담 이전 시점이 규정되어 있지 않습니다. 하역 공구·비용은 매수인 부담(제8.2조)으로 되어 있습니다.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설비를 베트남으로 수입하므로 통관 주체·수입 신고·관세·검사 책임이 명확해야 합니다. 베트남 수입 시 관세는 CIF 가액 기준으로 부과되며, 중국산 기계는 ‘중국-아세안 FTA(ACFTA)’ 원산지증명(Form E) 제출 시 특혜관세(상당수 0%) 적용이 가능합니다. 원산지증명을 매도인이 제공하지 않으면 매수인이 일반 관세를 부담하게 됩니다.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Incoterms 2020 기준을 명시(예: 매도인 부담 범위를 FOB 중국항 또는 CIF 베트남항으로 확정).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소유권 이전 시점(예: 잔금 완납 시 또는 통관 완료 시)과 위험 이전 시점을 별도 조항으로 규정.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매도인에게 ACFTA 원산지증명서(Form E), 상업송장, 패킹리스트, 선하증권 제공 의무를 명문화 → 수입관세 절감.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수입통관·관세·수입VAT·국내운송·하역의 부담 주체를 표로 명확히 배분.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3.3 세금 — 외국계약자세(FCT)·중국 증치세·베트남 수입VAT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제9.1조와 부속표는 가격에 ‘13% 증치세(增值税专用发票)’ 및 유지보수 ‘6% 증치세’를 포함한다고 명시합니다. 베트남에서 수행되는 소프트웨어 설치·시운전·교육·현장 양산지원(陪产)에 대한 세금은 전혀 규정되어 있지 않습니다.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두 가지 핵심 문제가 있습니다. (1) 중국 증치세 13%: 베트남 매수인은 중국 증치세 전용계산서(专票)를 매입세액으로 공제할 수 없으므로 무의미하며, 수출거래에 중국 내수 증치세를 부과하는 것은 부적절합니다(수출은 통상 영세율). 즉 약 RMB 32만 상당이 매수인에게는 ‘회수 불가능한 비용’이 될 수 있고, 베트남 수입VAT(표준 10%, 2026년 말까지 8% 감면 적용 다수)와 사실상 이중과세가 됩니다. (2) 외국계약자세(FCT, Thuế nhà thầu): 베트남 내 용역(설치·교육·시운전)에 대해 매수인이 원천징수·납부 의무를 부담합니다. CIT분 0.1~10%, VAT분 2~5%(디지털·소프트웨어 용역은 2025.7 시행 시행규칙으로 일부 인상). 부담 주체 미정 시 결국 매수인이 부담하거나, 매도인에 대한 지급액에서 원천징수해야 하는데 계약에 근거가 없습니다.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수출거래에 맞게 중국 증치세 13%를 제외한 수출가격으로 재산정 요청(또는 그 부담이 매수인에게 전가되지 않도록 명시).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FCT 부담 주체를 명문화 — 통상 베트남 매수인이 원천징수하므로, ‘계약금액은 FCT 공제 전 총액’인지 ‘매도인 순수취액(gross-up)’인지 분명히 할 것. gross-up이면 추가비용 발생.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소프트웨어/지재권 사용권 부분과 용역(설치·교육) 부분의 금액을 분리 기재 → FCT·VAT 적용구분 및 절세에 유리.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베트남 회계·세무 처리를 위해 매도인의 인보이스가 베트남 수입신고서와 정합되도록 요구.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3.4 결제조건 및 외환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제9.2조: 소프트웨어는 40%(계약 후 7일)+50%(설치·조정 완료 후 7일)+10%(가동 1개월 내). 하드웨어는 30%(계약 후 7일)+60%(출하 전)+10%(설치·조정 완료 후). 대금계좌는 중국 건설은행 위안화 계좌이며 ‘USD 계좌 신청 후 갱신’이라는 메모가 있습니다.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베트남에서 해외로 수입대금을 송금하려면 수입신고서·계약·인보이스 등 정식 서류가 필요합니다(외환관리). 가격이 RMB로만 표기되고 결제통화·USD 계좌가 미확정이어서 송금 실무·환리스크가 불명확합니다. 또한 하드웨어 기준 설치·검수 전 90%(30%+60%)를 선지급하는 구조는 매수인에게 자금·이행 리스크가 큽니다.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결제통화(USD 권장)와 수취 은행계좌를 계약 체결 전 확정. 위안화/달러 환산기준·환리스크 부담 주체 명시.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선급금 비중을 낮추고 ‘설치·시운전·검수 합격’과 잔금을 연동. 최소 10~30%는 최종검수 후 지급으로 조정 권고.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선지급 보호장치로 매도인의 선수금환급보증(Advance Payment Bond) 또는 이행보증(Performance Bond) 요구.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베트남 외환·송금 요건 충족을 위한 서류 일체(정식 인보이스·계약·수입신고)의 제공 의무를 매도인에 부과.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3.5 검수(Acceptance) 조항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제5.3조: 검수 기준은 ‘라인 무고장 48시간 운전’이며, ‘매수인이 정당한 이유 없이 약정기한 내 검수를 조직하지 않으면 기한 만료일부터 준공검수 합격으로 간주’합니다.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48시간이라는 짧은 기준과 ‘검수 간주’ 조항은 약 RMB 278만 규모의 복합 자동화 시스템에 비해 매수인 보호가 약합니다. 베트남 상법상 물품 하자에 대한 검사·통지 권리가 있으나, 계약상 간주조항이 이를 사실상 제약할 수 있습니다.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검수 기준을 강화 — 단순 48시간 무고장이 아니라 정의된 성능지표(가동률·사이클타임·불량률 등)와 안정가동 기간(예: 7~30일) 충족으로 설정.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‘검수 간주’ 발동 전 서면 독촉·유예기간(예: 추가 10영업일)과 매수인 귀책 입증요건을 부가.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하자보수(deficiency punch-list) 절차와 미해결 항목에 대한 잔금 유보(보류금) 권리 명시.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3.6 보증 및 책임 제한 (제6·12조)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유지보수: 검수일로부터 1년 무상, 이후 연 유지보수료(금액 공란). 책임: 제12조(4)는 ‘모더바오 시스템 해당 기계’에서 시스템 결함으로 인한 경제손실에 한해 매도인이 배상한다고 한정합니다. 소스코드·개발 기술문서는 미제공.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베트남 상법상 매도인은 물품의 품질·적합성에 대한 법정 책임을 부담합니다. 현 조항은 보증범위가 ‘해당 기계 경제손실’로 협소하고, 손해배상 상한·간접손해 배제·하자담보 기간이 불분명하여 매수인에게 불리합니다.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하자보증기간(최소 12~24개월)과 보증 범위(부품·노동·출장 포함 여부)를 명확히. 연 유지보수료 금액·산정식 확정.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성능 미달·반복 고장 시 무상 수리→교체→해제·환불로 이어지는 단계적 구제수단(remedy ladder) 신설.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예비부품 공급기간, 응답·복구 SLA(제6조 표) 미준수 시 패널티(서비스 크레딧) 규정.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매도인 도산 시를 대비한 소스코드 에스크로 또는 핵심 기술문서·운영매뉴얼 제공 조건 검토.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3.7 지식재산권 및 데이터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제12조: 《모더바오 시스템 V1.0》의 지재권은 매도인 소유, 매수인은 사내 운영·관리 목적 사용권만 보유(상업적 전용 불가), 소스코드·개발문서 미포함.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사용권 기반 라이선스 자체는 통상적이나, 라이선스 ‘기간(영구 여부)’, 양도·사업이전 시 승계, 가동에 필요한 제3자 SW(예: NX, 사디크 EDM 연동)의 라이선스 비용·합법성, 생산·검사 데이터의 소유권이 불명확합니다.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라이선스 기간(영구·무제한 대수/설비)과 회사 분할·합병 시 승계 가능성 명시.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의존하는 제3자 소프트웨어의 라이선스·비용 부담 주체와 합법성 보증을 매도인에 요구.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매수인 생산·품질 데이터의 소유권은 매수인에게 귀속됨을 명시(제3.2조 비밀유지와 연계).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3.8 위약·손해배상 및 불가항력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제11조: 불가항력(지진·태풍 등) 발생 시 15일 내 통지·증빙. 위약은 ‘불가항력 외 이행지체·불이행’으로 정의하고 서면통지 절차만 규정. 구체적 위약금률·지연배상(LD)은 없음.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만약 준거법을 베트남법으로 합의할 경우, 베트남 상법 제301조에 따라 위약벌(penalty)은 위반된 의무가액의 8%를 초과할 수 없습니다(손해배상은 별개로 실손해 입증 시 가능). 현 계약은 위약금률이 없어 위반 시 구제수단이 약합니다.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납기 지연에 대한 지연배상(LD) 조항 신설(예: 주당 0.5~1%, 상한 설정). 베트남법 적용 시 8% 상한 유의.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매도인 중대한 불이행·장기지연 시 매수인의 해제권 및 기지급금 환급 조항 명시.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불가항력 통지기한(15일)·증빙요건이 매수인에게도 공평하게 적용되는지 확인.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3.9 계약 형식·언어·당사자·기타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현황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계약서는 중국어 단일본이며, 甲方(매수인) 법인명·주소·대표자·납세코드가 모두 공란입니다. ‘팩스본·부속서도 정본과 동일 효력’, ‘미진사항은 별도 협의’로 마무리됩니다.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베트남법상 쟁점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베트남에서 통관·세무·회계 처리를 위해서는 베트남어(또는 베트남어 병기) 서류가 요구되는 경우가 많습니다(회계법상 증빙). 또한 당사자 정보 공란 상태로는 계약 성립·집행에 흠결이 생길 수 있습니다.</w:t>
      </w:r>
    </w:p>
    <w:p>
      <w:pPr>
        <w:spacing w:after="40" w:before="0" w:line="276"/>
      </w:pPr>
      <w:r>
        <w:rPr>
          <w:rFonts w:ascii="Malgun Gothic" w:cs="Malgun Gothic" w:eastAsia="Malgun Gothic" w:hAnsi="Malgun Gothic"/>
          <w:b/>
          <w:bCs/>
          <w:color w:val="548235"/>
          <w:sz w:val="22"/>
          <w:szCs w:val="22"/>
        </w:rPr>
        <w:t xml:space="preserve">수정·보완 권고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중국어·영어(또는 중국어·베트남어) 이중언어본을 작성하고, 불일치 시 우선언어를 지정.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甲方 법인 정식명칭·등록주소·세금코드(MST)·법정대표자·서명권자를 정확히 기재.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발효요건(서명·날인), 부속서 목록과 우선순위, 수정합의 방식(제1.3조)을 점검.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베트남 통관·세무 제출용으로 매도인 인보이스·서류의 정합성 확보.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우선 조치 권고 (협상 체크리스트)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서명 전 다음 항목을 매도인과 우선 협상·보완할 것을 권고합니다. ★ 표시는 반드시 처리해야 할 핵심 항목입니다.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★ 분쟁해결 조항 신설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중립지(싱가포르 SIAC/홍콩 HKIAC) 중재 조항 추가, 준거법 재협상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★ 세금 부담 명문화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중국 증치세 13% 제외, FCT 부담 주체·gross-up 여부 확정, 항목별 금액 분리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★ 인도조건·소유권/위험 이전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Incoterms 2020 명시, ACFTA 원산지증명(Form E) 제공의무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★ 결제·외환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결제통화(USD) 확정, 선급금 비중 축소·검수 연동, 이행/선수금환급 보증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검수 기준 강화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성능지표·안정가동기간 정의, ‘검수 간주’ 완화, 보류금 권리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보증·SLA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하자보증 12~24개월, 단계적 구제수단, SLA 미준수 패널티, 연 유지보수료 확정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□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당사자·언어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甲方 정보 기재, 이중언어본·우선언어 지정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유의사항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의견서는 제공된 계약서 원문과 공개된 베트남 법령 정보를 토대로 작성한 일반적 검토 의견이며, 베트남 변호사·세무사의 정식 법률·세무 자문을 대체하지 않습니다. 외국계약자세율·부가세 감면·관세율 등은 거래의 구체적 분류와 최신 시행규칙에 따라 달라질 수 있으므로, 계약 확정 전 베트남 현지 전문가의 확인을 받으시기 바랍니다.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참고 근거: </w:t>
      </w: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베트남 상법(2005) 제301조(위약벌 8% 상한)·외국적 요소 준거법 선택, 민법(2015), 외국계약자세(시행규칙 103/2014/TT-BTC 및 후속 개정), 부가세법(표준 10%, 2026년 말까지 8% 감면), 뉴욕협약(베트남 1995 가입) 및 민사소송법상 외국중재판정 승인·집행.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–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계약서 법률 검토 의견서 (베트남 법률 기준)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2026-05-23T03:56:58.348Z</dcterms:created>
  <dcterms:modified xsi:type="dcterms:W3CDTF">2026-05-23T03:56:58.348Z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