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2"/>
          <w:szCs w:val="42"/>
        </w:rPr>
        <w:t xml:space="preserve">V4.0 수정본 검토 의견서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2E5496"/>
          <w:sz w:val="24"/>
          <w:szCs w:val="24"/>
        </w:rPr>
        <w:t xml:space="preserve">— V3.0 합의안 대비 변경 분석 및 리스크 평가 —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i/>
          <w:iCs/>
          <w:color w:val="595959"/>
          <w:sz w:val="20"/>
          <w:szCs w:val="20"/>
        </w:rPr>
        <w:t xml:space="preserve">《柔性自动化销售合同》 V4.0 修订本 / 3개 언어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비교 기준 (이전)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柔性自动化销售合同_V3.0_수정본_3개언어.docx (M&amp;C 작성 합의 권고안)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검토 대상 (이번)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柔性自动化销售合同_V4.0_수정본_3개언어V1.1.docx (모더바오 회신본)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검토일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2026-05-27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전체 결론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주의 (Caution) — 매도인이 중국어(ZH) 본문만 일방적으로 수정. 베트남어/영어본은 그대로 두어 3개 언어본 사이에 의도적 불일치를 생성. 핵심 매수인 보호조항 4건이 ZH본에서 약화됨.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핵심 결론 (Executive Summary)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매도인 회신본(V4.0)의 변경 패턴은 매우 비정상적입니다. </w:t>
      </w:r>
      <w:r>
        <w:rPr>
          <w:rFonts w:ascii="Malgun Gothic" w:cs="Malgun Gothic" w:eastAsia="Malgun Gothic" w:hAnsi="Malgun Gothic"/>
          <w:sz w:val="22"/>
          <w:szCs w:val="22"/>
        </w:rPr>
        <w:t xml:space="preserve">본문에 적힌 모든 변경은 </w:t>
      </w:r>
      <w:r>
        <w:rPr>
          <w:rFonts w:ascii="Malgun Gothic" w:cs="Malgun Gothic" w:eastAsia="Malgun Gothic" w:hAnsi="Malgun Gothic"/>
          <w:b/>
          <w:bCs/>
          <w:sz w:val="22"/>
          <w:szCs w:val="22"/>
          <w:shd w:fill="FFFF00" w:val="clear"/>
        </w:rPr>
        <w:t xml:space="preserve">중국어(ZH) 본문에만</w:t>
      </w:r>
      <w:r>
        <w:rPr>
          <w:rFonts w:ascii="Malgun Gothic" w:cs="Malgun Gothic" w:eastAsia="Malgun Gothic" w:hAnsi="Malgun Gothic"/>
          <w:sz w:val="22"/>
          <w:szCs w:val="22"/>
        </w:rPr>
        <w:t xml:space="preserve"> 가해졌고, 베트남어(VN)·영어(EN)본은 V3.0과 100% 동일하게 유지되었습니다. </w:t>
      </w: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제14.1조에서 영어가 정본으로 명시되어 있으므로 법적으로는 EN본이 우선하지만,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이런 의도적 언어 불일치는 ① 향후 분쟁 시 매도인 측의 자의적 해석 여지를 만들고 ② 영어를 잘 모르는 중국 측 실무자가 ZH본을 근거로 다른 이행을 할 위험이 있고 ③ 베트남 통관·세무 단계에서 ZH 인보이스·문서를 사용할 경우 매수인이 직접 불이익을 받을 수 있습니다.</w:t>
      </w:r>
    </w:p>
    <w:p>
      <w:pPr>
        <w:spacing w:after="18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또한 V3.0에서 매도인이 채워 넣어 회신해야 했던 핵심 협상 변수들(준거법 선택, 중재기관, 금액 분리내역, FCT 부담, 환리스크, APB/PB 보증액, LD 상한, SLA 패널티 등)은 </w:t>
      </w: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대부분 공란인 채 그대로 회신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되었습니다. 매도인은 본질적 협상에 동의하지 않은 것으로 보입니다.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중국어(ZH)만 일방 수정한 항목 (가장 중요)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항목은 V4.0 ZH본에서 변경되었으나 VN·EN본은 V3.0과 동일합니다. 색칠된 셀은 매수인에게 불리해진 부분입니다.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100"/>
        <w:gridCol w:w="2300"/>
        <w:gridCol w:w="2400"/>
        <w:gridCol w:w="1500"/>
        <w:gridCol w:w="1290"/>
      </w:tblGrid>
      <w:tr>
        <w:trPr>
          <w:tblHeader/>
        </w:trP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조항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V3.0 ZH (합의안)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V4.0 ZH (회신본) — 매도인이 바꾼 부분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VN/EN 상태</w:t>
            </w:r>
          </w:p>
        </w:tc>
        <w:tc>
          <w:tcPr>
            <w:tcW w:type="dxa" w:w="1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①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제3.2조 (인도 문서)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乙方须提供 ACFTA 原产地证书（Form E）、商业发票、装箱单及提单(B/L)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乙方须提供商业发票、装箱单及提单(B/L)  → ACFTA 原产地证书（Form E）를 ZH본에서 삭제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VN·EN: Form E 의무 그대로</w:t>
            </w:r>
          </w:p>
        </w:tc>
        <w:tc>
          <w:tcPr>
            <w:tcW w:type="dxa" w:w="1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②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제7.1조 (안정가동)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稳定运行[7–30]天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稳定运行[7]天 → 30일 옵션 제거, 매도인 최단 기간 일방 확정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VN·EN: [7–30] 유지</w:t>
            </w:r>
          </w:p>
        </w:tc>
        <w:tc>
          <w:tcPr>
            <w:tcW w:type="dxa" w:w="1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③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제7.2조 (검수 간주)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본문 전체: 서면 독촉 + 추가 10영업일 유예 + 매도인의 매수인 귀책 입증 의무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条文 본문이 통째로 삭제됨 (제목 '视同验收：' 만 남음)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VN·EN: 본문 그대로</w:t>
            </w:r>
          </w:p>
        </w:tc>
        <w:tc>
          <w:tcPr>
            <w:tcW w:type="dxa" w:w="1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④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제8.1조 (보증)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保修期：[12–24]个月, 涵盖配件、人工及乙方差旅费用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保修期：[12]个月, 涵盖配件  → 12개월 + 부품만(인공·출장비 제외)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VN·EN: [12–24]개월+부품·인공·출장 유지</w:t>
            </w:r>
          </w:p>
        </w:tc>
        <w:tc>
          <w:tcPr>
            <w:tcW w:type="dxa" w:w="12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매도인이 ZH본에만 금액·계좌를 채워 회신한 항목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항목은 V3.0에서 공란이었고, 매도인이 V4.0의 ZH본에만 구체 숫자/내용을 채워 넣었습니다. VN·EN본은 여전히 공란이므로 이 또한 언어 불일치를 만듭니다.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0"/>
        <w:gridCol w:w="1500"/>
        <w:gridCol w:w="3200"/>
        <w:gridCol w:w="2790"/>
        <w:gridCol w:w="1100"/>
      </w:tblGrid>
      <w:tr>
        <w:trPr>
          <w:tblHeader/>
        </w:trP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No.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조항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매도인 제시 (ZH본)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평가·검증 포인트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⑤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제4.1조 (총가)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USD 360,083 (세제외)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원본 RMB 2,460,177 → USD 환산(7.2 기준) 약 USD 341,690. 매도인 제시가는 약 +5.4%. (a)소프트웨어/(b)하드웨어/(c)용역 분리내역(부속서3)은 제출 안함 → FCT 산정 불가. 환율·기준일 확인 필요.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⑥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제5.1조 (수취계좌)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户名:深圳模德宝科技有限公司 / 账号:658040759 / 中国民生银行 深圳科技园支行 / 联行号:305584018043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⚠ 계좌번호 9자리 — 통상 중국 법인계좌(19~20자리) 대비 비정상. 또한 원본 V3.0 계약에 기재됐던 건설은행 매림지점(44201550900052511145)과 은행·계좌 모두 다름. 위장 계좌 가능성 점검 필요. 송금 전 정식 공식문서·전화·기존 거래내역으로 재확인. FX 리스크 부담 주체는 여전히 공란.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</w:tr>
      <w:tr>
        <w:tc>
          <w:tcPr>
            <w:tcW w:type="dxa" w:w="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⑦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19"/>
                <w:szCs w:val="19"/>
              </w:rPr>
              <w:t xml:space="preserve">제8.4조 (연 유지보수료)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  <w:shd w:fill="FFFF00" w:val="clear"/>
              </w:rPr>
              <w:t xml:space="preserve">USD 17,168 / 년</w:t>
            </w:r>
          </w:p>
        </w:tc>
        <w:tc>
          <w:tcPr>
            <w:tcW w:type="dxa" w:w="27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총 계약가의 약 4.8% 수준. 자동차·금형 자동화 MES 유지보수 통상 범위(3~6%)에 부합하나, 인플레이션·온사이트 출장비·인력시간 포함 여부, 인상률(예: 연 CPI 상한) 명시 필요. 무상 1년 후 명목인지 실질인지 확인.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19"/>
                <w:szCs w:val="19"/>
              </w:rPr>
              <w:t xml:space="preserve">중간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매도인이 응답하지 않은(공란 유지) 핵심 협상 변수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아래는 V3.0 합의안에서 매도인이 채워 회신해야 했던 핵심 변수입니다. 모두 V4.0에서도 공란으로 회신되어 본질적 협상에 동의하지 않은 상태입니다.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제3.1조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Incoterms 선택 (FOB 중국항 / CIF 하이퐁) — 미선택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제4.1조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(a) 소프트웨어·IP / (b) 하드웨어 / (c) 용역 금액 분리 — 부속서3 미제출 → FCT 산정·세무 처리 불가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제4.3조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FCT 부담 주체·gross-up 여부 — 미결정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제5.1조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환산 기준·FX 리스크 부담 주체 — 공란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제5.3조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선수금환급보증(APB)·이행보증(PB) 비율 — 공란 (매도인이 보증 제공 의사 미표명)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제8.3조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SLA 위반 시 service credit 기준 — 공란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제11.1조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LD 상한(%) — 공란 (베트남법 시 8% 상한 적용)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제13.1조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준거법 (베트남법 / 싱가포르법) — 미선택</w:t>
      </w:r>
    </w:p>
    <w:p>
      <w:pPr>
        <w:spacing w:after="7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제13.2조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중재기관 (SIAC / HKIAC), 중재인 수 (1 / 3) — 미선택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기타 관찰 사항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5.1 ZH본만 수정한 행위의 법적·실무적 의미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법적: 제14.1조에 'EN본 우선'이 명시되어 있으므로, 분쟁 시 영어본이 해석 기준이 됨. 다만 SIAC/HKIAC 중재 자체가 미합의(제13.2조 공란)이므로 분쟁 해결 경로 자체가 미확정 상태.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실무: 베트남 통관·세무 신고에는 인보이스·계약서가 사용됨. 매도인이 ZH 인보이스 기준으로 행동하면, Form E 미제공·검수 간주 임의 발동·보증 축소 등 ZH본 차원의 실질 손해가 발생할 수 있음.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협상심리: 회신 패턴 자체가 'EN본은 형식상 두고 ZH본에서 실질을 가져간다'는 의도로 해석될 수 있음. 신뢰 신호로는 매우 부정적.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5.2 신설 조항(제3·13조)에 대한 매도인 반응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제3조(인도·소유권·위험): 3.1·3.3은 그대로 유지. 다만 3.2 ZH본에서 Form E 제공 의무만 콕 집어 삭제. ⇒ 매도인은 인도조건은 받아들이되, 베트남 매수인이 관세 절감을 못 받게 하려는 의도일 수 있음(원산지증명 발급 비용·번거로움 회피 가능성).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제13조(준거법·중재): 모든 옵션을 [_/_] 그대로 두어 미선택. 사실상 동의·거부 어느 쪽도 명시하지 않음. 매도인은 결정을 미루고 있음.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제5.2조(결제 단계): [30%]+[40%]+[20%]+[10%] 유보금 구조는 그대로 받아들임 (긍정적). 다만 5.3 APB/PB 비율 공란으로 보증 제공은 미확정.</w:t>
      </w:r>
    </w:p>
    <w:p>
      <w:pPr>
        <w:pStyle w:val="Heading2"/>
        <w:spacing w:after="120" w:before="220"/>
      </w:pPr>
      <w:r>
        <w:rPr>
          <w:rFonts w:ascii="Malgun Gothic" w:cs="Malgun Gothic" w:eastAsia="Malgun Gothic" w:hAnsi="Malgun Gothic"/>
          <w:b/>
          <w:bCs/>
          <w:color w:val="2E5496"/>
          <w:sz w:val="25"/>
          <w:szCs w:val="25"/>
        </w:rPr>
        <w:t xml:space="preserve">5.3 표지·제목 메타데이터 오류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Malgun Gothic" w:cs="Malgun Gothic" w:eastAsia="Malgun Gothic" w:hAnsi="Malgun Gothic"/>
          <w:sz w:val="22"/>
          <w:szCs w:val="22"/>
        </w:rPr>
        <w:t xml:space="preserve">V4.0 파일이지만 본문 부제목은 여전히 '《柔性自动化销售合同》 V3.0 — 修订版'으로 V3 라벨. 단순 오타이거나 매도인이 텍스트를 부분 복사·붙여 작업해 메타데이터 갱신을 빠뜨렸을 가능성. 서명 전 반드시 표지·헤더의 버전 표기를 수정.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종합 리스크 평가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rPr>
          <w:tblHeader/>
        </w:trP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리스크 항목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영향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3개 언어본 불일치 (ZH만 수정)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매도인이 EN/VN과 다른 ZH본을 의도적으로 만들었음. 영어 정본임에도 실무·신뢰 측면 위험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ACFTA Form E (3.2) 삭제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관세 특혜 (수십%까지) 손실 가능. 즉시 복원 요구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검수 간주(7.2) 본문 삭제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매수인 보호 핵심조항 무력화 시도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보증 축소(8.1) 12개월+부품만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인공·출장 미포함 보증은 실효성 약함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수취계좌 정합성(5.1)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9"/>
                <w:szCs w:val="19"/>
              </w:rPr>
              <w:t xml:space="preserve">중대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계좌번호 비정상(9자리)+은행 변경 → 사기/오류 가능성 확인 필요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안정가동 7일(7.1)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30일 옵션 제거, 매수인 검증 기회 축소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총가 USD 360,083(4.1)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환산가 대비 +5.4%, 분리내역 미제출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분리내역 미제출(4.1)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FCT·세무처리 불가, 부속서3 누락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APB/PB 미확정(5.3)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선급금 90% 구조 미해소 시 자금 리스크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준거법·중재 미선택(13)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55A11"/>
                <w:sz w:val="19"/>
                <w:szCs w:val="19"/>
              </w:rPr>
              <w:t xml:space="preserve">높음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분쟁해결 경로 미확정 → V3 합의 무력화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FCT·환리스크 공란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19"/>
                <w:szCs w:val="19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구체 협상 미진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연 유지보수료 17,168 USD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19"/>
                <w:szCs w:val="19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상한·인상률·범위 협의 필요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LD 상한 공란(11.1)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BF8F00"/>
                <w:sz w:val="19"/>
                <w:szCs w:val="19"/>
              </w:rPr>
              <w:t xml:space="preserve">중간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베트남법 시 8% 적용 가능 — 명시 선호</w:t>
            </w:r>
          </w:p>
        </w:tc>
      </w:tr>
      <w:tr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V4 표지 V3로 표기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48235"/>
                <w:sz w:val="19"/>
                <w:szCs w:val="19"/>
              </w:rPr>
              <w:t xml:space="preserve">낮음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line="262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메타데이터 정정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권고 대응 (V5.0 협상 포인트)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5개를 단일 회신 메모에 정리하여 매도인에 송부할 것을 권고합니다.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① 3개 언어본 정합성 확보 (Most Urgent)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V4.0 ZH본의 변경 4건(제3.2 Form E 삭제, 7.1 7일, 7.2 본문 삭제, 8.1 보증 축소)을 V3.0 합의안대로 EN본과 동일하게 복원할 것. 향후 어떤 회신본도 'EN/VN/ZH 본문 동일성'을 매도인이 서면으로 확인할 것.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② 수취계좌 검증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제5.1조 ZH본에 적은 민생은행 658040759 계좌의 정합성을 매도인의 공식 회사 레터헤드 문서(직인 포함) 또는 모더바오 임원 화상통화로 직접 확인. 9자리 계좌번호는 추가 검증 필요.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③ 금액 분리내역 및 FCT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USD 360,083 (세제외) 산출 근거 요청, 부속서3 (a)소프트웨어/(b)하드웨어/(c)용역 분리 제출 의무화. FCT 부담주체(권고: gross-up으로 매도인 부담) 합의.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④ 보증·검수·SLA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제7.1 안정가동 [14]일로 합의안 제시, 제7.2 본문 EN 기준대로 복원, 제8.1 보증 [18]개월+부품·인공·출장 포함, 제8.3 SLA 위반 시 월 유지보수료의 5~10% 서비스 크레딧 제안.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⑤ 분쟁해결·보증금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제13.1 준거법 = 싱가포르법 또는 베트남법 둘 중 명확히 선택, 제13.2 SIAC 싱가포르 단독 중재인 합의. 제5.3 APB = 선급액의 100%, PB = 계약가의 10%로 확정.</w:t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유의사항</w:t>
      </w:r>
    </w:p>
    <w:p>
      <w:pPr>
        <w:spacing w:after="140" w:before="0" w:line="276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의견서는 제공된 V3.0·V4.0 두 파일의 텍스트 차이만을 기준으로 한 비교 분석이며 베트남 변호사·세무사의 정식 자문을 대체하지 않습니다. 특히 ⑥ 수취계좌 정합성은 사기·피싱 가능성도 점검 대상이므로, 송금 전 반드시 별도 채널로 검증할 것을 강력히 권고합니다.</w:t>
      </w:r>
    </w:p>
    <w:sectPr>
      <w:headerReference w:type="default" r:id="rId7"/>
      <w:footerReference w:type="default" r:id="rId8"/>
      <w:pgSz w:w="12240" w:h="15840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– </w:t>
    </w:r>
    <w:r>
      <w:rPr>
        <w:rFonts w:ascii="Malgun Gothic" w:cs="Malgun Gothic" w:eastAsia="Malgun Gothic" w:hAnsi="Malgun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08080"/>
        <w:sz w:val="18"/>
        <w:szCs w:val="18"/>
      </w:rPr>
      <w:t xml:space="preserve"> –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6" w:space="4"/>
      </w:pBdr>
      <w:jc w:val="right"/>
    </w:pPr>
    <w:r>
      <w:rPr>
        <w:rFonts w:ascii="Malgun Gothic" w:cs="Malgun Gothic" w:eastAsia="Malgun Gothic" w:hAnsi="Malgun Gothic"/>
        <w:color w:val="808080"/>
        <w:sz w:val="16"/>
        <w:szCs w:val="16"/>
      </w:rPr>
      <w:t xml:space="preserve">V4.0 수정본 검토 의견서 (V3.0 합의안 대비)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2026-05-27T02:27:24.009Z</dcterms:created>
  <dcterms:modified xsi:type="dcterms:W3CDTF">2026-05-27T02:27:24.012Z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