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algun Gothic" w:hAnsi="Malgun Gothic" w:eastAsia="Malgun Gothic"/>
          <w:b/>
          <w:color w:val="1F4E79"/>
          <w:sz w:val="36"/>
        </w:rPr>
        <w:t>M&amp;C ELECTRONICS VINA CO., LTD</w:t>
      </w:r>
    </w:p>
    <w:p>
      <w:pPr>
        <w:spacing w:before="1200"/>
        <w:jc w:val="center"/>
      </w:pPr>
      <w:r>
        <w:rPr>
          <w:rFonts w:ascii="Malgun Gothic" w:hAnsi="Malgun Gothic" w:eastAsia="Malgun Gothic"/>
          <w:b/>
          <w:color w:val="1F4E79"/>
          <w:sz w:val="56"/>
        </w:rPr>
        <w:t>계약관리 운영 절차서</w:t>
      </w:r>
    </w:p>
    <w:p>
      <w:pPr>
        <w:spacing w:after="160"/>
        <w:jc w:val="center"/>
      </w:pPr>
      <w:r>
        <w:rPr>
          <w:rFonts w:ascii="Malgun Gothic" w:hAnsi="Malgun Gothic" w:eastAsia="Malgun Gothic"/>
          <w:b w:val="0"/>
          <w:color w:val="595959"/>
          <w:sz w:val="28"/>
        </w:rPr>
        <w:t>Contract Management Procedure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95959"/>
          <w:sz w:val="26"/>
        </w:rPr>
        <w:t>Quy trình quản lý hợp đồng</w:t>
      </w:r>
    </w:p>
    <w:p>
      <w:pPr>
        <w:spacing w:before="2400"/>
        <w:jc w:val="center"/>
      </w:pPr>
      <w:r>
        <w:rPr>
          <w:rFonts w:ascii="Malgun Gothic" w:hAnsi="Malgun Gothic" w:eastAsia="Malgun Gothic"/>
          <w:b w:val="0"/>
          <w:color w:val="595959"/>
          <w:sz w:val="22"/>
        </w:rPr>
        <w:t>Version 1.0 | 2026.04.24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95959"/>
          <w:sz w:val="22"/>
        </w:rPr>
        <w:t>작성: 베트남법인 구매·법무팀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95959"/>
          <w:sz w:val="22"/>
        </w:rPr>
        <w:t>승인: 법인장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목차 (Table of Contents)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제1장 총칙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제1조 목적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제2조 적용 범위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제3조 용어의 정의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제4조 기본 원칙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제2장 계약 유형 분류 및 선정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제5조 계약 유형 분류 체계 (A~H)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제6조 거래 규모 기준선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제7조 상황별 표준계약서 선정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제3장 결재권한 및 업무분장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제8조 결재권한 매트릭스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제9조 업무분장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제10조 위임전결 및 특별승인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제4장 계약 업무 프로세스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제11조 1단계 — 기안 (수요발생 → 업체선정)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제12조 2단계 — 계약서 작성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제13조 3단계 — 내부 검토 및 리스크 심의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제14조 4단계 — 결재 및 승인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제15조 5단계 — 계약 체결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제16조 6단계 — 계약 이행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제17조 7단계 — 사후 관리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제5장 베트남 법률 준수 필수사항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제18조 베트남 상법 특례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제19조 외환관리 및 결제통화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제20조 세무 준수 (VAT·인지세·하도급)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제21조 개인정보보호법 (NĐ 13/2023)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제22조 산업안전·환경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제6장 리스크 관리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제23조 갑 불리 체크포인트 12선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제24조 선급금 보호 및 보증서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제25조 지체상금·손해배상 대칭성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제26조 해지 사유와 치유기간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제27조 분쟁해결 조항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제7장 표준 조항 라이브러리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제28조 공통 필수 조항 (14개)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제29조 베트남 국내 전용 조항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제30조 해외 전용 조항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제31조 수리·정비 특수 조항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제8장 다국어 운영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제32조 언어 기본 원칙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제33조 해석 우선순위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제34조 번역본 관리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제9장 문서 관리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제35조 계약번호 체계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제36조 보관 및 접근권한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제37조 연간 검토 및 개정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제10장 부속서식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제38조 표준계약서 목록 (A~H)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제39조 관리대장·품의서·검수확인서 양식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부록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부록 1. 계약 유형 분류 Matrix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부록 2. 결재권한표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부록 3. 갑 불리 체크포인트 12선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부록 4. 베트남 법령 참조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부록 5. 용어집 (한국어/베트남어/영어)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제1장  총칙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제1조 (목적)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본 절차서는 M&amp;C Electronics Vina Co., Ltd(이하 "회사" 또는 "갑")가 공급업체·서비스업체·임대인·수탁자 등 거래 상대방(이하 "을")과 체결하는 모든 계약에 대하여, 계약의 기안·검토·승인·체결·이행·사후관리에 이르는 전 과정을 표준화하고, 베트남 법률을 준수하며 회사의 법률·재무·운영 리스크를 최소화하는 것을 목적으로 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제2조 (적용 범위)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본 절차서는 회사가 당사자가 되는 다음 각 호의 계약에 적용한다.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1. 정기 구매계약 (Master Purchase Agreement / Hợp đồng nguyên tắc)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2. 일회성 구매계약 (One-time Purchase Contract)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3. 장비·설비 구매계약 (Equipment Purchase Contract)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4. 수리·정비계약 (Repair &amp; Maintenance Contract)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5. 설비 임대·리스계약 (Equipment Lease Contract)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6. 외주 가공계약 (Processing Contract / Hợp đồng gia công)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7. 금형 매매계약 (Mold Sales Contract)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8. 용역·교육·기타 부속계약 (Service·Training·Ancillary Contracts)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9. 비밀유지계약 (NDA) 및 부속서(양해각서, 확약서, 각서 등)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원청 고객사와의 수주(판매) 계약은 별도 지침에 따르며, 필요 시 본 절차서의 해당 조항을 준용한다.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제3조 (용어의 정의)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708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"갑"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매수인·임차인·위탁자 등 M&amp;C Electronics Vina Co., Ltd를 말한다.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"을"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매도인·임대인·수탁자 등 거래 상대방을 말한다.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"국내"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사회주의공화국 내의 사업자를 말한다.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"해외"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외(중국·한국·일본·미국 등) 사업자를 말한다.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"표준계약서"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회사가 유형별로 사전 승인한 계약서 양식을 말하며, 본 절차서 부록 및 별첨 파일을 구성한다.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"PO"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Purchase Order(발주서)를 말한다.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"위약금(Phạt)"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상법 제301조에 따른 위약벌로, 계약금액의 8%를 상한으로 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"손해배상(Bồi thường)"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상법 제302조에 따른 실손해 배상을 말하며, 위약금과 별도로 청구할 수 있다.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"VIAC"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Vietnam International Arbitration Centre, 베트남국제중재센터를 말한다.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"SBV"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State Bank of Vietnam, 베트남 국가은행을 말한다.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제4조 (기본 원칙)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>1. 표준계약서 우선 원칙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0"/>
        </w:rPr>
        <w:t>모든 계약은 본 절차서가 정한 표준계약서를 기본으로 사용하며, 상대방이 제시한 계약서를 그대로 수용해서는 안 된다.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>2. 베트남 법률 준수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0"/>
        </w:rPr>
        <w:t>모든 계약은 베트남 민법(2015)·상법(2005)·외환관리법·VAT법·노동법·개인정보보호법(NĐ 13/2023)을 준수한다.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>3. 문서주의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0"/>
        </w:rPr>
        <w:t>모든 합의·변경·해지는 반드시 서면(계약서·부속합의서·서한)으로 하며, 구두·메신저 합의만으로는 효력이 없다.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>4. 권한 분리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0"/>
        </w:rPr>
        <w:t>기안자·검토자·승인자·결재자를 분리하여 상호 견제한다. 기안자가 단독으로 계약을 체결할 수 없다.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>5. 리스크 기반 검토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0"/>
        </w:rPr>
        <w:t>거래 규모·중요도·외국 요소 유무에 따라 차등화된 검토 절차를 적용한다.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>6. 기록 및 추적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0"/>
        </w:rPr>
        <w:t>모든 계약서는 계약번호를 부여하여 계약관리대장에 등록하고 원본을 5년 이상 보관한다.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제2장  계약 유형 분류 및 선정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제5조 (계약 유형 분류 체계 A~H)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계약 유형은 거래의 성격과 지역에 따라 다음과 같이 분류한다. 기존 A~D 유형에 추가하여 E(임대)·F(외주가공)·G(금형매매)·H(부속)를 포함한 8개 대분류 체계로 운영한다.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130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지역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적용 대상</w:t>
            </w:r>
          </w:p>
        </w:tc>
        <w:tc>
          <w:tcPr>
            <w:tcW w:type="dxa" w:w="294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적용 표준계약서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정기 구매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국내(베트남)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연간·반복 거래, PO 발주 운영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A-1_정기구매_국내_표준계약서.docx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A-2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정기 구매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연간·반복 거래, Incoterms·L/C 적용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A-2_정기구매_해외_표준계약서.docx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일회성 구매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국내(베트남)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단발성 거래, 단건 PO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B-1_일회성구매_국내_표준계약서.docx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B-2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일회성 구매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단발성 수입 거래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B-2_일회성구매_해외_표준계약서.docx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장비·설비 구매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국내(베트남)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설치·시운전·검수 포함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C-1_장비설비구매_국내_표준계약서.docx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C-2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장비·설비 구매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Incoterms DAP/DDP, 제조사 보증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C-2_장비설비구매_해외_표준계약서.docx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수리·정비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국내(베트남)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 범위·보증·산업안전 포함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D-1_수리정비_국내_표준계약서.docx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D-2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수리·정비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기술자 파견·부품 통관 포함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D-2_수리정비_해외_표준계약서.docx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E-1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설비 임대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국내(베트남)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유·무상 임대, 생산의무·회수권 포함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E-1_설비임대_국내_표준계약서.docx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E-2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설비 임대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국제 임대, 관세·재수출 포함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E-2_설비임대_해외_표준계약서.docx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외주 가공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국내(베트남)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사출·도금·도장 등 가공 위탁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F-1_외주가공_국내_표준계약서.docx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F-2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외주 가공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가공 위탁, 원자재 공급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F-2_외주가공_해외_표준계약서.docx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금형 매매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국내·해외 공통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금형 제작·매매·소유권 이전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G-1_금형매매_표준계약서.docx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비밀유지(NDA)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국내·해외 공통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상호형/편무형, 5년 의무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H-1_NDA_표준계약서.docx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H-2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용역·교육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국내·해외 공통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기술지도·교육·컨설팅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H-2_용역교육_표준계약서.docx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H-3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단가계약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국내·해외 공통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다수 장비 일괄수리·반복 부품 공급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H-3_연간단가계약_표준계약서.docx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제6조 (거래 규모 기준선)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거래 규모는 계약서 선택·보증 방식·결재 단계의 기준이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소액 (간이계약)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중액 (표준계약서)</w:t>
            </w:r>
          </w:p>
        </w:tc>
        <w:tc>
          <w:tcPr>
            <w:tcW w:type="dxa" w:w="243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대액 (표준+보증+특별승인)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구매·일회성 (VND)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2억VND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2억~10억VND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10억VND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구매·일회성 (USD)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10,000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10,000~50,000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50,000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장비·설비 (VND)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10억VND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10억~20억VND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20억VND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장비·설비 (USD)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30,000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30,000~100,000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100,000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수리·정비 (VND)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1억VND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1억~5억VND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5억VND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수리·정비 (USD)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10,000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10,000~50,000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50,000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단가계약(연간, VND)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5억VND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5억~20억VND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20억VND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임대·외주가공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1억VND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1억~5억VND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5억VND 이상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제7조 (상황별 표준계약서 선정)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계약 담당자는 수요가 접수되면 다음 의사결정 순서에 따라 적용 유형을 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분기 기준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Step 1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거래 성격은?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정기·반복 ⇒ A / 일회성 ⇒ B / 설비 ⇒ C / 수리 ⇒ D / 임대 ⇒ E / 외주 ⇒ F / 금형 ⇒ G / 부속 ⇒ H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Step 2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거래 상대방 지역?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내 ⇒ -1 / 해외 ⇒ -2 (A~F 공통)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Step 3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거래 규모는?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소액 ⇒ 간이계약서 / 중액 ⇒ 표준계약서 / 대액 ⇒ 표준+보증+특별승인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Step 4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특수 리스크?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원격접속·개인정보·환경폐기물·해외기술자 파견 등 ⇒ 해당 특수 조항 삽입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Step 5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NDA 필요성?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기술정보·생산데이터·설계도면 제공 시 ⇒ H-1(NDA) 선행 체결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제3장  결재권한 및 업무분장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제8조 (결재권한 매트릭스)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모든 계약은 아래 매트릭스에 따라 결재한다. 결재선을 생략하거나 역순 결재할 수 없다.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8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거래 구분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최종 결재</w:t>
            </w:r>
          </w:p>
        </w:tc>
        <w:tc>
          <w:tcPr>
            <w:tcW w:type="dxa" w:w="130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2차 검토</w:t>
            </w:r>
          </w:p>
        </w:tc>
        <w:tc>
          <w:tcPr>
            <w:tcW w:type="dxa" w:w="153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1차 기안·검토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법무 검토 수준</w:t>
            </w:r>
          </w:p>
        </w:tc>
        <w:tc>
          <w:tcPr>
            <w:tcW w:type="dxa" w:w="158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필요 문서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소액 (간이)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부서장 전결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팀장 검토</w:t>
            </w:r>
          </w:p>
        </w:tc>
        <w:tc>
          <w:tcPr>
            <w:tcW w:type="dxa" w:w="153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담당자 기안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-</w:t>
            </w:r>
          </w:p>
        </w:tc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PO·품의서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중액 (표준)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 승인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부서장 검토</w:t>
            </w:r>
          </w:p>
        </w:tc>
        <w:tc>
          <w:tcPr>
            <w:tcW w:type="dxa" w:w="153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팀장 검토·담당자 기안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 약식검토</w:t>
            </w:r>
          </w:p>
        </w:tc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품의서+계약서 초안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대액 (특별)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 승인 + 본사 사전보고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부서장 검토</w:t>
            </w:r>
          </w:p>
        </w:tc>
        <w:tc>
          <w:tcPr>
            <w:tcW w:type="dxa" w:w="153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팀장 검토·담당자 기안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 정식검토 + 리스크심의위</w:t>
            </w:r>
          </w:p>
        </w:tc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품의서+계약서+리스크심의서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NDA·보증서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 승인 (유형 불문)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 검토</w:t>
            </w:r>
          </w:p>
        </w:tc>
        <w:tc>
          <w:tcPr>
            <w:tcW w:type="dxa" w:w="153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담당자 기안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 정식검토</w:t>
            </w:r>
          </w:p>
        </w:tc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품의서+NDA/보증서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본사 Guaranty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한국 본사 승인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 기안</w:t>
            </w:r>
          </w:p>
        </w:tc>
        <w:tc>
          <w:tcPr>
            <w:tcW w:type="dxa" w:w="153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본사 법무·재경 검토</w:t>
            </w:r>
          </w:p>
        </w:tc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본사 품의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제9조 (업무분장)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부서/직무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주요 역할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요청부서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수요 발생·업체 추천·기술 사양서 작성·검수 주관·사후 성능 평가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구매팀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업체 조사·견적 비교·단가 협상·계약서 초안 작성·PO 발행·대금 지급 요청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기술/설비팀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기술 사양 검토·설치 기준·시운전 참관·검수 합격 판정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품질팀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품질 기준 수립·수입검사·불량 처리 주관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법무(또는 지정 담당)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계약서 법률 검토·리스크 심의·분쟁 대응·법령 변경 모니터링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재경팀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결제통화·환율·세금계산서·외환송금 절차·인지세·VAT·지급스케줄 관리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총무·문서관리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계약서 원본 보관·계약관리대장 운영·계약번호 부여·공증 수속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안전·환경팀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공장 내 수리 작업·외주 가공 공정의 산업안전·폐기물 처리 관리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법인장(부총경리)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중액 이상 계약 최종 승인·대표서명·분쟁 대응 총괄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제10조 (위임전결 및 특별승인)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부재 시 위임전결: 법인장 부재 시 지정 대리인이 결재하며, 사후 24시간 이내 법인장에게 보고한다.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긴급성 특례: 생산 중단·안전 사고 등 긴급 수리가 필요한 경우 구두 승인 후 72시간 이내 서면 품의를 완료한다.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본사 사전보고 대상: 대액 거래, 본사 연대보증 필요 거래, 5년 초과 장기계약, 베트남 외 분쟁관할 합의 거래는 반드시 한국 본사에 사전 보고한다.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제4장  계약 업무 프로세스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아래 7단계는 모든 계약에 공통 적용되며, 간이계약서는 제13조(리스크 심의)를 생략할 수 있다.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제11조 (1단계 — 기안: 수요발생 → 업체선정)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765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① 수요 발생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요청부서가 수요(자재·장비·수리·임대 등)를 기안한다. 기술 사양서·예상 금액·요청 납기를 구체적으로 기재한다.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② 구매 요청(PR)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요청부서 → 구매팀 PR 발행. 구매팀이 접수일·건번을 부여한다.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③ 업체 조사 및 견적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최소 3개사 견적 비교를 원칙으로 하며, 단일 공급자(Sole Source)인 경우 사유서를 첨부한다.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④ 업체 적격성 심사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사업자등록증(ĐKKD)·세무신고증·재무제표·유사 실적·안전보건 인증 확인. 해외업체는 D&amp;B 또는 공신력 있는 신용평가 결과 첨부 권장.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⑤ 업체 선정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견적 비교표·기술 평가표·신용도 평가를 종합하여 결재권자에게 업체 선정 품의.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제12조 (2단계 — 계약서 작성)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담당자는 제5조의 분류 체계에 따라 표준계약서를 선택한다. 상대방이 자체 양식을 요구하는 경우, 차액 심의 없이 수용하지 않는다.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공란(__________) 항목은 모두 기입하여야 하며, 삭제·수정한 조항은 변경 이력(Revision Log)에 기록한다.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베트남어를 마스터 언어로 하고, 한국어·영어는 참조용으로 병기한다. 해석 우선 언어는 제33조에 따른다.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담당자는 작성된 초안에 계약번호(임시)·작성일자·작성자를 표기한 뒤 팀장 검토를 받는다.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제13조 (3단계 — 내부 검토 및 리스크 심의)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법무(또는 지정 담당)는 아래 체크리스트에 따라 계약서 전 조항을 검토하고 "리스크심의서(별지 제3호)"를 작성한다.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체크 항목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중요도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 선급금 ≤ 30% 및 보증서 징구 여부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2. 잔금 ≥ 10%의 검수 후 지급 여부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3. 지체상금률 vs 지급지체이자율 대칭성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4. 손해배상 상한(Liability Cap) 명시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5. 위약금 상한 ≤ 8% (베트남 상법 제301조)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6. 일방적 해지권 + 치유기간 15~30일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7. 분쟁해결: VIAC/SIAC/ICC (매도인국 회피)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8. Incoterms 2020 버전 및 조건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9. 외환관리법 준수 (SBV 승인 필요 여부)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10. 개인정보보호 조항 (NĐ 13/2023)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해당 시 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11. 지식재산권(IP) 귀속 명시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기술·가공·금형 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12. 보증기간 기산점 = 최종 검수완료일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권고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13. C/O 제출 의무 (FTA 관세 혜택)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권고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14. 언어·해석 우선순위 명시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리스크심의서는 위험 등급(HIGH/MEDIUM/LOW)을 지정하고, HIGH 1건 이상인 경우 반드시 법인장 승인 단계에서 별도 보고한다.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제14조 (4단계 — 결재 및 승인)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품의서는 계약서 초안·견적비교표·리스크심의서·보증서(사본)를 첨부한다.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결재권자는 제8조 매트릭스에 따르며, 결재 누락·역순은 무효로 간주한다.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결재 과정에서 수정 요청이 발생한 경우 담당자는 변경 이력을 기록하고, 재결재를 받아야 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제15조 (5단계 — 계약 체결)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최종 승인된 계약서는 2부(또는 3부)를 출력하여 갑·을 대표가 각각 서명·날인한다.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서명권자는 회사 대표자 또는 위임받은 자에 한하며, 법인인감·회사직인을 사용한다.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베트남 국내 계약은 베트남어본에 인감(Con dấu)을 날인하고, 필요 시 공증(Công chứng)한다.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해외 계약은 영문본 원본 서명이 기본이며, 베트남어 번역본은 참조용으로 관리한다. PDF 전자서명·DocuSign 사용 시 법무 사전 승인이 필요하다.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⑤ 체결 후 구매팀은 계약번호(정식)을 부여하고 계약관리대장에 등록한다.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제16조 (6단계 — 계약 이행)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선급금 지급 전 반드시 이행보증서·환불보증서 원본 수령을 확인한다.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중도금·잔금 지급은 지급 사유(공장 출하·선적·설치 완료·시운전 합격·검수 합격) 증빙을 확보한 후 재경팀 요청으로 집행한다.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검수는 요청부서·품질팀·기술팀 합동으로 수행하며, 검수확인서(별지 제5호)로 합격 여부를 공식 판정한다.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지체·품질 이슈 발생 시 서면 통지(Nofification)를 발송하여 베트남 상법·민법상 권리를 보전한다.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제17조 (7단계 — 사후 관리)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계약 이행 완료 후 구매팀은 "계약종결 보고서"를 작성하여 결재권자에게 보고한다.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보증기간 중 하자·재고장 발생 시 해당 계약서를 기반으로 무상 수리·교체를 청구한다.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정기계약은 만료 60일 전까지 갱신 여부를 검토하고, 자동갱신 조항이 있는 경우 60일 전 서면 통지로 거부한다.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공급업체 성과평가(SQCD: Safety·Quality·Cost·Delivery)를 연 1회 실시하여 차기 갱신 근거로 활용한다.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제5장  베트남 법률 준수 필수사항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제18조 (베트남 상법 특례)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요지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위약금 상한 8%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상법 제301조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위약금(Phạt vi phạm)은 계약금액의 8%를 초과할 수 없다. 실손해 배상은 위약금과 별도로 청구 가능.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법정 지연이자 10%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민법 제357조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매수인 지급지체 시 지연이자율 상한은 연 10% 수준. 계약에 별도 명시 시 이를 초과하지 않도록 한다.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물품 검수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상법 제44조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합리적 기간 내 검수 원칙. 계약에 '이의 없으면 합격' 간주 조항 시 기간을 최소 7~14일 이상으로 설정.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불가항력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민법 제156조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천재지변·전염병·전쟁·정부조치 등 통제 불능 사유. 통지기간 5~7일 이내, 60일 이상 지속 시 일방 해지권.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 해지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상법 제312조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중대한 위반 시 해지 가능하되 치유기간(Cure Period) 15~30일 필수.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연대책임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민법 제288조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3자 계약(매도인≠제조사) 시 연대책임 명시 필요.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손해배상 범위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상법 제302조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실제 손해 + 직접 일실이익. 간접손해 제외 여부는 명시적 합의 필요.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제19조 (외환관리 및 결제통화)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SBV 외환규정에 따라 베트남 내 거래는 VND 결제를 원칙으로 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해외 거래는 USD 기본, 상황에 따라 EUR·CNY·JPY·KRW 허용하되 SBV 사전 승인·증빙서류(계약서·Invoice·통관서류)를 확보한다.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환율은 SBV 고시환율을 기준으로 ±3~5% 변동 허용 범위를 약정한다.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제20조 (세무 준수)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베트남 국내 거래는 전자세금계산서(Hóa đơn GTGT điện tử) 발행을 필수 요건으로 명시한다.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계약서 자체에는 인지세가 없으나 설비·차량 등 등록 대상 자산은 등록세(Lệ phí trước bạ) 부담 주체를 명시한다.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하도급(M&amp;C가 원청 하청으로 조달) 구조에서 "원청 대금 수령 후 지급" 조항은 베트남법상 유효성이 불확실하므로 사용을 금지한다.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제21조 (개인정보보호법 - NĐ 13/2023)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개인정보(공급업체 직원 명단·출입기록·원격접속 로그 등)가 수반되는 계약은 정보주체 동의, 국외 이전 제한, 영향평가, 개인정보보호책임자(DPO) 지정을 조항화한다.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해외 수리업체의 원격접속(Remote Access) 계약은 VPN 사용·접속 로그 기록·별도 NDA 체결을 의무화한다.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제22조 (산업안전·환경)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회사 공장 내에서 수행되는 수리·외주 가공·설치 작업은 베트남 산업안전위생법(2015) 및 시행령 NĐ 39/2016을 준수한다.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수리업체 작업자의 산재보험 가입, 보호구 착용, 화기작업 허가서, 고소작업 안전조치 등을 계약에 명시한다.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수리 폐기물(폐유·금속스크랩·화학물질)은 환경보호법(2020) 및 NĐ 08/2022에 따라 인가 업체로 위탁 처리하도록 한다.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제6장  리스크 관리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제23조 (갑 불리 체크포인트 12선)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아래 12개 항목은 계약서 초안 검토 시 반드시 확인하여야 한다. 한 항목이라도 미충족 시 수정·삭제·보완한 뒤에만 체결할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No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위험 항목</w:t>
            </w:r>
          </w:p>
        </w:tc>
        <w:tc>
          <w:tcPr>
            <w:tcW w:type="dxa" w:w="5386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대응 기준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적용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선급금 과다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선급금 30% 이하 + 이행보증보험/환불보증서 필수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검수 전 대금지급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잔금 최소 10%는 검수 후 지급, 장비는 30% 이상 유보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B·C·D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지체상금 비대칭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상호 대칭. 갑 지급지체이자 ≤ 을 지체상금률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손해배상 무한책임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상한: 계약금액의 150~200%, 간접손해 제외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매도인 일방 해지권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15~30일 서면통지·치유기간·선급금 반환 의무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보증기간 기산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기산점 = 최종 검수완료일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3자계약 책임분산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연대책임 + 제조사 직접 보증서 별도 징구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B-2·C-2·D-2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외환규정 위반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결제통화·송금방식 SBV 사전 확인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중재장소·언어 불리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VIAC/SIAC/ICC, 영어 또는 베트남어, 매도인국 회피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수리범위 불명확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SOW(Scope of Work) 필수, 부품목록·공정 명시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 후 보증 부재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보증 6~12개월, 동일부위 재고장 무상 재수리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다수장비 단가 미확정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단가계약 + 수량 ±20% + 월간 정산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D·H-3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제24조 (선급금 보호 및 보증서)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선급금 30% 초과 지급 시: 이행보증서(Performance Bond) 또는 환불보증서(Refund Guarantee)를 반드시 징구한다.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보증서 발행주체: 베트남 은행, 한국 시중은행, 또는 Standby L/C(해외).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보증금액: 선급금 전액 이상, 유효기간: 최종 검수완료일 + 90일 이상.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제25조 (지체상금·손해배상 대칭성)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매도인 납품지체상금률 ≥ 매수인 지급지체이자율 원칙을 준수한다.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지체상금률 기준: 0.05~0.1%/일, 상한 계약금액의 8%.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위약금(Phạt)과 손해배상(Bồi thường)은 베트남 법상 별개 청구 가능. 계약서에 동시 청구 가능 여부를 명시한다.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제26조 (해지 사유와 치유기간)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해지 사유: 중대한 계약 위반, 지급 지연(기한 후 15~30일), 부도·파산·회생, 부정행위, 제3자 권리침해.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해지 전 반드시 서면통지 후 15~30일의 치유기간(Cure Period)을 부여한다.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해지 시 선급금·중도금 반환 의무, 현장 자산 반출·인계 절차를 조항화한다.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제27조 (분쟁해결 조항)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국내(베트남 상대방): 우호적 협의 → 불성립 시 Bắc Ninh 또는 Hà Nội 인민법원 / VIAC 중재(하노이).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해외 상대방: 우호적 협의 → VIAC(하노이) 또는 SIAC(싱가포르) / ICC 중재. 매도인국 중재(CIETAC 등) 회피.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중재 언어: 영어 또는 베트남어. 중재인 1~3명.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준거법: 베트남법 우선 확보, CISG 적용 여부 명시(위약금 8% 상한 적용 여부가 달라짐).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제7장  표준 조항 라이브러리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제28조 (공통 필수 조항 14개)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모든 표준계약서는 다음 14개 공통 조항을 포함한다. 유형별 특수 조항은 제29~31조에 정한 것을 추가한다.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조번호</w:t>
            </w:r>
          </w:p>
        </w:tc>
        <w:tc>
          <w:tcPr>
            <w:tcW w:type="dxa" w:w="765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조항명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제1조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 목적 및 정의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제2조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납품(또는 용역) 조건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제3조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대금 및 결제 조건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제4조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품질 기준 및 검수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제5조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지체상금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제6조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기밀유지 및 지식재산권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제7조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 해지 및 손해배상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제8조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분쟁해결 및 준거법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제9조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일반 조항 (양도금지·통지·완전합의·가분성)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제10조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효력 발생 및 계약 기간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제11조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불가항력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제12조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개인정보 보호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제13조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수출입 규제 및 제재 (해외 시)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제14조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부속문서 및 변경 (Change Order)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제29조 (베트남 국내 전용 조항)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조항명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내용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VAT 세금계산서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Hóa đơn GTGT điện tử 발행 의무 및 미이행 시 패널티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등록세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설비·차량 등 등록 대상 자산 구매 시 등록세 부담 주체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하도급/외주 보호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M&amp;C가 원청 하청 시 매도인 대금 지급 의무가 원청 대금 수령 조건부로 되지 않도록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품질 보증서 제공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Giấy bảo hành 별도 제공, 기산일 = 검수완료일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관할법원/중재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Bắc Ninh 인민법원 또는 VIAC(하노이)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이행보증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은행 발행 Thư bảo lãnh, 대액거래(10억VND 이상) 필수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위약금 상한 명시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계약금액의 8% 이내 (상법 제301조)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선급금 보호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선급금 100% 환불보증 조항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지급지체 보호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치유기간 15~30일, 선급금 몰취 금지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수리업체 자격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사업자등록증·기술자격·산재보험 확인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산업안전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공장 내 작업 시 ATVSLĐ법 준수, 작업허가서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폐기물 처리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환경법 준수, 유해폐기물 인가업체 위탁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제30조 (해외 전용 조항)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조항명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내용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Incoterms 2020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FOB/CIF/DAP/DDP 선택, DAP/DDP 권장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결제수단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L/C·T/T·D/P·D/A 선택, SBV 외환규정 준수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환율 위험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기준환율·변동허용 ±3~5%·통화 지정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수출입 통관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수출 매도인 책임·수입 M&amp;C 책임, C/O 제출 의무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준거법·중재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베트남법 우선, VIAC/SIAC/ICC, 영어·베트남어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불가항력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사유 구체적 열거·통지 5~7일·60일 이상 시 해지권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수출규제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미국 EAR, EU 이중용도 규정 준수 확인서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언어·해석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영어 마스터 권장, 중국어·일본어 단독 금지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선급금 보호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Refund Guarantee 또는 Standby L/C 필수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3자 책임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매도인≠제조사 시 연대책임 + 제조사 직접 보증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기술자 파견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Work Permit·비자·보험·Man-day Cap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부품 통관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HS Code·임시수입(TNTX)·면세 가능 여부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원격 수리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VPN·접속로그·별도 NDA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제31조 (수리·정비 특수 조항)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D 유형 및 H-3(연간 단가계약)은 다음 특수 조항을 추가한다.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조항명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내용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 대상 특정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장비코드·모델·일련번호 명시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 범위(SOW)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전체 오버홀/부분수리 구분, 교체 부품 목록, 공정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수리완료 기준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시운전 합격 조건·성능 수치(예: 위치정밀도 ±0.01mm)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 보증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최소 6개월(오버홀 12개월), 동일부위 재고장 무상 재수리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단가계약 수량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수량 ±20% 허용, 월간/분기 정산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긴급수리 대응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24~72시간 출동, 상주인력 요건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제8장  다국어 운영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제32조 (언어 기본 원칙)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마스터 언어: 베트남어(법적 마스터). 베트남 현지 법인이 당사자이므로 법원·중재·관공서 제출 시 베트남어본이 기준이 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참조 언어: 한국어(한국 본사·한국인 관리자 검토용) + 영어(해외 상대방 기본).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국내 거래: 베트남어본 단일 또는 베트남어·영어 병기.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해외 거래: 영어 단일(기본) 또는 베트남어·영어 병기. 상대국 언어(중국어·일본어) 단독은 금지한다.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제33조 (해석 우선순위)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계약서 문언이 상이할 경우 계약서에 명시된 해석 우선 언어에 따른다.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해석 우선 언어 미명시 시: 베트남 국내 거래는 베트남어본, 해외 거래는 영어본이 우선한다.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한국어본은 참조용으로 명시하며 법적 효력이 없음을 조항화한다.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제34조 (번역본 관리)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공식 번역은 베트남 공인번역(Dịch thuật công chứng)을 이용한다.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회사 내부 번역본은 "참조용(Reference Only)" 워터마크를 표기한다.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법인장 서명 전 주요 조항(대금·지체상금·해지·분쟁해결)은 한국어 요약본을 별도 작성하여 결재에 첨부한다.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제9장  문서 관리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제35조 (계약번호 체계)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계약번호는 다음 규칙으로 부여한다.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형식: [유형코드]-[연도]-[월]-[일련번호]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1"/>
        </w:rPr>
        <w:t>예시: C-2-2026-04-0012 (2026년 4월 12번째로 체결한 해외 장비설비 계약)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유형코드: A-1, A-2, B-1, B-2, C-1, C-2, D-1, D-2, E-1, E-2, F-1, F-2, G-1, H-1, H-2, H-3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제36조 (보관 및 접근 권한)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원본 계약서는 총무팀 금고에 5년 이상 보관한다.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스캔본은 회사 문서관리시스템(DMS)에 업로드하여 구매·법무·재경 3개 부서만 열람 가능하도록 권한을 설정한다.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계약관리대장(Contract Register)은 구매팀이 운영하며 월 1회 법인장 보고한다.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제37조 (연간 검토 및 개정)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매년 1/4분기 말(3월 31일 기준)에 전 표준계약서·본 절차서를 재검토한다.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베트남 법령 개정, 주요 분쟁 경험, 본사 지침 변경 시 수시 개정한다.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개정 이력은 본 절차서 말미의 변경이력표에 기록한다.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제10장  부속서식 및 표준계약서 목록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제38조 (표준계약서 목록)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본 절차서와 함께 운영되는 표준계약서 일람은 다음과 같으며, 파일 위치는 05_법무계약/기존계약서검토/표준계약서/ 경로이다.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유형명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파일명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정기구매 국내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A-1_정기구매_국내_표준계약서.docx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A-2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정기구매 해외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A-2_정기구매_해외_표준계약서.docx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일회성구매 국내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B-1_일회성구매_국내_표준계약서.docx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B-2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일회성구매 해외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B-2_일회성구매_해외_표준계약서.docx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장비설비구매 국내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C-1_장비설비구매_국내_표준계약서.docx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C-2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장비설비구매 해외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C-2_장비설비구매_해외_표준계약서.docx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수리정비 국내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D-1_수리정비_국내_표준계약서.docx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D-2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수리정비 해외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D-2_수리정비_해외_표준계약서.docx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E-1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설비임대 국내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추가_신규유형/E-1_설비임대_국내_표준계약서.docx (신규)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외주가공 국내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추가_신규유형/F-1_외주가공_국내_표준계약서.docx (신규)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비밀유지(NDA)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추가_신규유형/H-1_NDA_표준계약서.docx (신규)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H-3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단가계약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추가_신규유형/H-3_연간단가계약_표준계약서.docx (신규)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제39조 (관리대장·품의서·검수확인서 양식)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서식번호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명칭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사용 시점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제1호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계약관리대장 (Contract Register)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구매팀 운영, 월 1회 보고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제2호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 품의서 (Request for Approval)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담당자 기안, 결재권자 승인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제3호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리스크 심의서 (Risk Review)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법무/지정담당 작성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제4호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단일공급자 사유서 (Sole Source Justification)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1업체 견적 시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제5호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검수확인서 (Acceptance Certificate)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요청·품질·기술 합동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제6호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변경합의서 (Change Order)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SOW·금액·일정 변경 시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제7호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계약종결 보고서 (Closure Report)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이행 완료 후 작성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제8호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이행보증서/환불보증서 견본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은행 발행 양식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부록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부록 1.  계약 유형 분류 Matrix (요약)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상세 Matrix 및 결제조건은 별첨 "계약유형_분류_Matrix_수정본_v3.xlsx" 참조.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부록 2.  결재권한표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최종 결재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필수 문서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소액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부서장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품의서·PO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간이계약 또는 표준계약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중액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품의서+표준계약+보증서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리스크심의 필수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대액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 + 본사 사전보고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품의서+표준계약+보증서+리스크심의서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HIGH 등급 별도 보고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NDA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NDA+리스크 체크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 정식 검토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부록 3.  갑 불리 체크포인트 12선 (요약)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본문 제23조 표 참조. 법무 검토 시 해당 표에 서명·날인하여 리스크심의서에 첨부한다.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부록 4.  베트남 법령 참조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법령명(한국어)</w:t>
            </w:r>
          </w:p>
        </w:tc>
        <w:tc>
          <w:tcPr>
            <w:tcW w:type="dxa" w:w="5953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원어(베트남어/영어)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민법 2015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Bộ luật Dân sự 2015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상법 2005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Thương mại 2005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VAT법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Thuế GTGT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중재법 2010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Trọng tài Thương mại 2010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외환관리법령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Pháp lệnh Ngoại hối 2005 (개정 2013)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투자법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Đầu tư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관세법 2014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Hải quan 2014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기업법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Doanh nghiệp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산업안전위생법 2015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An toàn, vệ sinh lao động 2015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환경보호법 2020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Bảo vệ môi trường 2020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개인정보보호 시행령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Nghị định 13/2023/NĐ-CP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전자세금계산서 시행령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Nghị định 123/2020/NĐ-CP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외국인 근로허가 시행령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Nghị định 152/2020/NĐ-CP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사이버보안법 2018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An ninh mạng 2018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지식재산법 2005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Sở hữu trí tuệ 2005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소비자보호법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Bảo vệ quyền lợi người tiêu dùng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CISG (UN 국제물품매매협약)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United Nations Convention on Contracts for the International Sale of Goods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Incoterms 2020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ICC Incoterms 2020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UCP 600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Uniform Customs and Practice for Documentary Credits (2007 Revision)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부록 5.  용어집 (한국어 / 베트남어 / 영어)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한국어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Tiếng Việt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매수인/갑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Bên A / Bên Mua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Buyer / Party A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매도인/을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Bên B / Bên Bán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Seller / Party B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발주서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Đơn đặt hàng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Purchase Order (PO)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납품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Giao hàng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Delivery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검수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Nghiệm thu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Acceptance / Inspection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선급금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Tạm ứng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Advance Payment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중도금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Thanh toán giữa kỳ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Interim Payment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잔금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Thanh toán cuối cùng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Final Payment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세금계산서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Hóa đơn GTGT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VAT Invoice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이행보증서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Bảo lãnh thực hiện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Performance Bond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환불보증서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Bảo lãnh hoàn trả tạm ứng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Refund Guarantee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지체상금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Phạt chậm giao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Liquidated Damages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위약금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Phạt vi phạm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Penalty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손해배상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Bồi thường thiệt hại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Compensation for Damages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불가항력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Bất khả kháng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Force Majeure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치유기간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Thời gian khắc phục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Cure Period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중재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Trọng tài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Arbitration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관할법원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Tòa án có thẩm quyền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Jurisdiction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준거법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điều chỉnh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Governing Law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기밀유지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Bảo mật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Confidentiality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지식재산권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Quyền sở hữu trí tuệ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Intellectual Property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자동갱신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Gia hạn tự động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Automatic Renewal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 범위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Phạm vi sửa chữa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Scope of Repair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시운전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Chạy thử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Commissioning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보증기간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Thời gian bảo hành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Warranty Period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변경이력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일자</w:t>
            </w:r>
          </w:p>
        </w:tc>
        <w:tc>
          <w:tcPr>
            <w:tcW w:type="dxa" w:w="5102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변경내용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작성자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2026-04-24</w:t>
            </w:r>
          </w:p>
        </w:tc>
        <w:tc>
          <w:tcPr>
            <w:tcW w:type="dxa" w:w="51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최초 제정 — 계약관리 운영 절차서 신규 작성, 표준계약서 A~H 체계 정립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구매·법무팀</w:t>
            </w:r>
          </w:p>
        </w:tc>
      </w:tr>
    </w:tbl>
    <w:p>
      <w:pPr>
        <w:spacing w:before="800"/>
      </w:pPr>
      <w:r>
        <w:rPr>
          <w:rFonts w:ascii="Malgun Gothic" w:hAnsi="Malgun Gothic" w:eastAsia="Malgun Gothic"/>
          <w:b/>
          <w:color w:val="1F4E79"/>
          <w:sz w:val="28"/>
        </w:rPr>
        <w:t>제정 및 승인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직위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서명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작성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구매팀장 / 법무 담당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 xml:space="preserve">                           (서명)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검토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부총경리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 xml:space="preserve">                           (서명)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승인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 CHOI BYOUNG YOUN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 xml:space="preserve">                           (서명·인감)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