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Malgun Gothic" w:hAnsi="Malgun Gothic" w:eastAsia="Malgun Gothic"/>
          <w:b/>
          <w:color w:val="1F4E79"/>
          <w:sz w:val="36"/>
        </w:rPr>
        <w:t>M&amp;C ELECTRONICS VINA CO., LTD</w:t>
      </w:r>
    </w:p>
    <w:p>
      <w:pPr>
        <w:spacing w:before="1200"/>
        <w:jc w:val="center"/>
      </w:pPr>
      <w:r>
        <w:rPr>
          <w:rFonts w:ascii="Malgun Gothic" w:hAnsi="Malgun Gothic" w:eastAsia="Malgun Gothic"/>
          <w:b/>
          <w:color w:val="1F4E79"/>
          <w:sz w:val="56"/>
        </w:rPr>
        <w:t>계약관리 운영 절차서</w:t>
      </w:r>
    </w:p>
    <w:p>
      <w:pPr>
        <w:spacing w:after="160"/>
        <w:jc w:val="center"/>
      </w:pPr>
      <w:r>
        <w:rPr>
          <w:rFonts w:ascii="Malgun Gothic" w:hAnsi="Malgun Gothic" w:eastAsia="Malgun Gothic"/>
          <w:b w:val="0"/>
          <w:color w:val="595959"/>
          <w:sz w:val="28"/>
        </w:rPr>
        <w:t>Contract Management Procedure</w:t>
      </w:r>
    </w:p>
    <w:p>
      <w:pPr>
        <w:jc w:val="center"/>
      </w:pPr>
      <w:r>
        <w:rPr>
          <w:rFonts w:ascii="Malgun Gothic" w:hAnsi="Malgun Gothic" w:eastAsia="Malgun Gothic"/>
          <w:b w:val="0"/>
          <w:color w:val="595959"/>
          <w:sz w:val="26"/>
        </w:rPr>
        <w:t>Quy trình quản lý hợp đồng</w:t>
      </w:r>
    </w:p>
    <w:p>
      <w:pPr>
        <w:spacing w:before="2400"/>
        <w:jc w:val="center"/>
      </w:pPr>
      <w:r>
        <w:rPr>
          <w:rFonts w:ascii="Malgun Gothic" w:hAnsi="Malgun Gothic" w:eastAsia="Malgun Gothic"/>
          <w:b w:val="0"/>
          <w:color w:val="595959"/>
          <w:sz w:val="22"/>
        </w:rPr>
        <w:t>Version 1.0 | 2026.04.24</w:t>
      </w:r>
    </w:p>
    <w:p>
      <w:pPr>
        <w:jc w:val="center"/>
      </w:pPr>
      <w:r>
        <w:rPr>
          <w:rFonts w:ascii="Malgun Gothic" w:hAnsi="Malgun Gothic" w:eastAsia="Malgun Gothic"/>
          <w:b w:val="0"/>
          <w:color w:val="595959"/>
          <w:sz w:val="22"/>
        </w:rPr>
        <w:t>작성: 베트남법인 구매·법무팀</w:t>
      </w:r>
    </w:p>
    <w:p>
      <w:pPr>
        <w:jc w:val="center"/>
      </w:pPr>
      <w:r>
        <w:rPr>
          <w:rFonts w:ascii="Malgun Gothic" w:hAnsi="Malgun Gothic" w:eastAsia="Malgun Gothic"/>
          <w:b w:val="0"/>
          <w:color w:val="595959"/>
          <w:sz w:val="22"/>
        </w:rPr>
        <w:t>승인: 법인장</w:t>
      </w:r>
    </w:p>
    <w:p>
      <w:r>
        <w:br w:type="page"/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1F4E79"/>
          <w:sz w:val="32"/>
        </w:rPr>
        <w:t>목차 (Table of Contents)</w:t>
      </w:r>
    </w:p>
    <w:p>
      <w:pPr>
        <w:spacing w:after="40"/>
      </w:pPr>
      <w:r>
        <w:rPr>
          <w:rFonts w:ascii="Malgun Gothic" w:hAnsi="Malgun Gothic" w:eastAsia="Malgun Gothic"/>
          <w:b/>
          <w:color w:val="1F4E79"/>
          <w:sz w:val="22"/>
        </w:rPr>
        <w:t>제1장 총칙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제1조 목적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제2조 적용 범위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제3조 용어의 정의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제4조 기본 원칙</w:t>
      </w:r>
    </w:p>
    <w:p>
      <w:pPr>
        <w:spacing w:after="40"/>
      </w:pPr>
      <w:r>
        <w:rPr>
          <w:rFonts w:ascii="Malgun Gothic" w:hAnsi="Malgun Gothic" w:eastAsia="Malgun Gothic"/>
          <w:b/>
          <w:color w:val="1F4E79"/>
          <w:sz w:val="22"/>
        </w:rPr>
        <w:t>제2장 계약 유형 분류 및 선정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제5조 계약 유형 분류 체계 (A~H)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제6조 거래 규모 기준선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제7조 상황별 표준계약서 선정</w:t>
      </w:r>
    </w:p>
    <w:p>
      <w:pPr>
        <w:spacing w:after="40"/>
      </w:pPr>
      <w:r>
        <w:rPr>
          <w:rFonts w:ascii="Malgun Gothic" w:hAnsi="Malgun Gothic" w:eastAsia="Malgun Gothic"/>
          <w:b/>
          <w:color w:val="1F4E79"/>
          <w:sz w:val="22"/>
        </w:rPr>
        <w:t>제3장 결재권한 및 업무분장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제8조 결재권한 매트릭스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제9조 업무분장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제10조 위임전결 및 특별승인</w:t>
      </w:r>
    </w:p>
    <w:p>
      <w:pPr>
        <w:spacing w:after="40"/>
      </w:pPr>
      <w:r>
        <w:rPr>
          <w:rFonts w:ascii="Malgun Gothic" w:hAnsi="Malgun Gothic" w:eastAsia="Malgun Gothic"/>
          <w:b/>
          <w:color w:val="1F4E79"/>
          <w:sz w:val="22"/>
        </w:rPr>
        <w:t>제4장 계약 업무 프로세스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제11조 1단계 — 기안 (수요발생 → 업체선정)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제12조 2단계 — 계약서 작성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제13조 3단계 — 내부 검토 및 리스크 심의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제14조 4단계 — 결재 및 승인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제15조 5단계 — 계약 체결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제16조 6단계 — 계약 이행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제17조 7단계 — 사후 관리</w:t>
      </w:r>
    </w:p>
    <w:p>
      <w:pPr>
        <w:spacing w:after="40"/>
      </w:pPr>
      <w:r>
        <w:rPr>
          <w:rFonts w:ascii="Malgun Gothic" w:hAnsi="Malgun Gothic" w:eastAsia="Malgun Gothic"/>
          <w:b/>
          <w:color w:val="1F4E79"/>
          <w:sz w:val="22"/>
        </w:rPr>
        <w:t>제5장 베트남 법률 준수 필수사항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제18조 베트남 상법 특례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제19조 외환관리 및 결제통화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제20조 세무 준수 (VAT·인지세·하도급)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제21조 개인정보보호법 (NĐ 13/2023)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제22조 산업안전·환경</w:t>
      </w:r>
    </w:p>
    <w:p>
      <w:pPr>
        <w:spacing w:after="40"/>
      </w:pPr>
      <w:r>
        <w:rPr>
          <w:rFonts w:ascii="Malgun Gothic" w:hAnsi="Malgun Gothic" w:eastAsia="Malgun Gothic"/>
          <w:b/>
          <w:color w:val="1F4E79"/>
          <w:sz w:val="22"/>
        </w:rPr>
        <w:t>제6장 리스크 관리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제23조 갑 불리 체크포인트 12선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제24조 선급금 보호 및 보증서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제25조 지체상금·손해배상 대칭성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제26조 해지 사유와 치유기간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제27조 분쟁해결 조항</w:t>
      </w:r>
    </w:p>
    <w:p>
      <w:pPr>
        <w:spacing w:after="40"/>
      </w:pPr>
      <w:r>
        <w:rPr>
          <w:rFonts w:ascii="Malgun Gothic" w:hAnsi="Malgun Gothic" w:eastAsia="Malgun Gothic"/>
          <w:b/>
          <w:color w:val="1F4E79"/>
          <w:sz w:val="22"/>
        </w:rPr>
        <w:t>제7장 표준 조항 라이브러리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제28조 공통 필수 조항 (14개)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제29조 베트남 국내 전용 조항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제30조 해외 전용 조항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제31조 수리·정비 특수 조항</w:t>
      </w:r>
    </w:p>
    <w:p>
      <w:pPr>
        <w:spacing w:after="40"/>
      </w:pPr>
      <w:r>
        <w:rPr>
          <w:rFonts w:ascii="Malgun Gothic" w:hAnsi="Malgun Gothic" w:eastAsia="Malgun Gothic"/>
          <w:b/>
          <w:color w:val="1F4E79"/>
          <w:sz w:val="22"/>
        </w:rPr>
        <w:t>제8장 다국어 운영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제32조 언어 기본 원칙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제33조 해석 우선순위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제34조 번역본 관리</w:t>
      </w:r>
    </w:p>
    <w:p>
      <w:pPr>
        <w:spacing w:after="40"/>
      </w:pPr>
      <w:r>
        <w:rPr>
          <w:rFonts w:ascii="Malgun Gothic" w:hAnsi="Malgun Gothic" w:eastAsia="Malgun Gothic"/>
          <w:b/>
          <w:color w:val="1F4E79"/>
          <w:sz w:val="22"/>
        </w:rPr>
        <w:t>제9장 문서 관리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제35조 계약번호 체계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제36조 보관 및 접근권한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제37조 연간 검토 및 개정</w:t>
      </w:r>
    </w:p>
    <w:p>
      <w:pPr>
        <w:spacing w:after="40"/>
      </w:pPr>
      <w:r>
        <w:rPr>
          <w:rFonts w:ascii="Malgun Gothic" w:hAnsi="Malgun Gothic" w:eastAsia="Malgun Gothic"/>
          <w:b/>
          <w:color w:val="1F4E79"/>
          <w:sz w:val="22"/>
        </w:rPr>
        <w:t>제10장 부속서식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제38조 표준계약서 목록 (A~H)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제39조 관리대장·품의서·검수확인서 양식</w:t>
      </w:r>
    </w:p>
    <w:p>
      <w:pPr>
        <w:spacing w:after="40"/>
      </w:pPr>
      <w:r>
        <w:rPr>
          <w:rFonts w:ascii="Malgun Gothic" w:hAnsi="Malgun Gothic" w:eastAsia="Malgun Gothic"/>
          <w:b/>
          <w:color w:val="1F4E79"/>
          <w:sz w:val="22"/>
        </w:rPr>
        <w:t>부록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부록 1. 계약 유형 분류 Matrix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부록 2. 결재권한표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부록 3. 갑 불리 체크포인트 12선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부록 4. 베트남 법령 참조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0"/>
        </w:rPr>
        <w:t xml:space="preserve">    부록 5. 용어집 (한국어/베트남어/영어)</w:t>
      </w:r>
    </w:p>
    <w:p>
      <w:r>
        <w:br w:type="page"/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1F4E79"/>
          <w:sz w:val="32"/>
        </w:rPr>
        <w:t>제1장  총칙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제1조 (목적)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본 절차서는 M&amp;C Electronics Vina Co., Ltd(이하 "회사" 또는 "갑")가 공급업체·서비스업체·임대인·수탁자 등 거래 상대방(이하 "을")과 체결하는 모든 계약에 대하여, 계약의 기안·검토·승인·체결·이행·사후관리에 이르는 전 과정을 표준화하고, 베트남 법률을 준수하며 회사의 법률·재무·운영 리스크를 최소화하는 것을 목적으로 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제2조 (적용 범위)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본 절차서는 회사가 당사자가 되는 다음 각 호의 계약에 적용한다.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1. 정기 구매계약 (Master Purchase Agreement / Hợp đồng nguyên tắc)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2. 일회성 구매계약 (One-time Purchase Contract)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3. 장비·설비 구매계약 (Equipment Purchase Contract)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4. 수리·정비계약 (Repair &amp; Maintenance Contract)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5. 설비 임대·리스계약 (Equipment Lease Contract)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6. 외주 가공계약 (Processing Contract / Hợp đồng gia công)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7. 금형 매매계약 (Mold Sales Contract)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8. 용역·교육·기타 부속계약 (Service·Training·Ancillary Contracts)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9. 비밀유지계약 (NDA) 및 부속서(양해각서, 확약서, 각서 등)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원청 고객사와의 수주(판매) 계약은 별도 지침에 따르며, 필요 시 본 절차서의 해당 조항을 준용한다.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제3조 (용어의 정의)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7087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정의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"갑"</w:t>
            </w:r>
          </w:p>
        </w:tc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매수인·임차인·위탁자 등 M&amp;C Electronics Vina Co., Ltd를 말한다.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"을"</w:t>
            </w:r>
          </w:p>
        </w:tc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매도인·임대인·수탁자 등 거래 상대방을 말한다.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"국내"</w:t>
            </w:r>
          </w:p>
        </w:tc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베트남 사회주의공화국 내의 사업자를 말한다.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"해외"</w:t>
            </w:r>
          </w:p>
        </w:tc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베트남 외(중국·한국·일본·미국 등) 사업자를 말한다.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"표준계약서"</w:t>
            </w:r>
          </w:p>
        </w:tc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회사가 유형별로 사전 승인한 계약서 양식을 말하며, 본 절차서 부록 및 별첨 파일을 구성한다.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"PO"</w:t>
            </w:r>
          </w:p>
        </w:tc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Purchase Order(발주서)를 말한다.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"위약금(Phạt)"</w:t>
            </w:r>
          </w:p>
        </w:tc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베트남 상법 제301조에 따른 위약벌로, 계약금액의 8%를 상한으로 한다.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"손해배상(Bồi thường)"</w:t>
            </w:r>
          </w:p>
        </w:tc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베트남 상법 제302조에 따른 실손해 배상을 말하며, 위약금과 별도로 청구할 수 있다.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"VIAC"</w:t>
            </w:r>
          </w:p>
        </w:tc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Vietnam International Arbitration Centre, 베트남국제중재센터를 말한다.</w:t>
            </w:r>
          </w:p>
        </w:tc>
      </w:tr>
      <w:tr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"SBV"</w:t>
            </w:r>
          </w:p>
        </w:tc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State Bank of Vietnam, 베트남 국가은행을 말한다.</w:t>
            </w:r>
          </w:p>
        </w:tc>
      </w:tr>
    </w:tbl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제4조 (기본 원칙)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>1. 표준계약서 우선 원칙</w:t>
      </w:r>
    </w:p>
    <w:p>
      <w:pPr>
        <w:spacing w:after="40"/>
        <w:ind w:left="283"/>
      </w:pPr>
      <w:r>
        <w:rPr>
          <w:rFonts w:ascii="Malgun Gothic" w:hAnsi="Malgun Gothic" w:eastAsia="Malgun Gothic"/>
          <w:b w:val="0"/>
          <w:sz w:val="20"/>
        </w:rPr>
        <w:t>모든 계약은 본 절차서가 정한 표준계약서를 기본으로 사용하며, 상대방이 제시한 계약서를 그대로 수용해서는 안 된다.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>2. 베트남 법률 준수</w:t>
      </w:r>
    </w:p>
    <w:p>
      <w:pPr>
        <w:spacing w:after="40"/>
        <w:ind w:left="283"/>
      </w:pPr>
      <w:r>
        <w:rPr>
          <w:rFonts w:ascii="Malgun Gothic" w:hAnsi="Malgun Gothic" w:eastAsia="Malgun Gothic"/>
          <w:b w:val="0"/>
          <w:sz w:val="20"/>
        </w:rPr>
        <w:t>모든 계약은 베트남 민법(2015)·상법(2005)·외환관리법·VAT법·노동법·개인정보보호법(NĐ 13/2023)을 준수한다.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>3. 문서주의</w:t>
      </w:r>
    </w:p>
    <w:p>
      <w:pPr>
        <w:spacing w:after="40"/>
        <w:ind w:left="283"/>
      </w:pPr>
      <w:r>
        <w:rPr>
          <w:rFonts w:ascii="Malgun Gothic" w:hAnsi="Malgun Gothic" w:eastAsia="Malgun Gothic"/>
          <w:b w:val="0"/>
          <w:sz w:val="20"/>
        </w:rPr>
        <w:t>모든 합의·변경·해지는 반드시 서면(계약서·부속합의서·서한)으로 하며, 구두·메신저 합의만으로는 효력이 없다.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>4. 권한 분리</w:t>
      </w:r>
    </w:p>
    <w:p>
      <w:pPr>
        <w:spacing w:after="40"/>
        <w:ind w:left="283"/>
      </w:pPr>
      <w:r>
        <w:rPr>
          <w:rFonts w:ascii="Malgun Gothic" w:hAnsi="Malgun Gothic" w:eastAsia="Malgun Gothic"/>
          <w:b w:val="0"/>
          <w:sz w:val="20"/>
        </w:rPr>
        <w:t>기안자·검토자·승인자·결재자를 분리하여 상호 견제한다. 기안자가 단독으로 계약을 체결할 수 없다.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>5. 리스크 기반 검토</w:t>
      </w:r>
    </w:p>
    <w:p>
      <w:pPr>
        <w:spacing w:after="40"/>
        <w:ind w:left="283"/>
      </w:pPr>
      <w:r>
        <w:rPr>
          <w:rFonts w:ascii="Malgun Gothic" w:hAnsi="Malgun Gothic" w:eastAsia="Malgun Gothic"/>
          <w:b w:val="0"/>
          <w:sz w:val="20"/>
        </w:rPr>
        <w:t>거래 규모·중요도·외국 요소 유무에 따라 차등화된 검토 절차를 적용한다.</w:t>
      </w:r>
    </w:p>
    <w:p>
      <w:pPr>
        <w:spacing w:after="40"/>
      </w:pPr>
      <w:r>
        <w:rPr>
          <w:rFonts w:ascii="Malgun Gothic" w:hAnsi="Malgun Gothic" w:eastAsia="Malgun Gothic"/>
          <w:b/>
          <w:sz w:val="21"/>
        </w:rPr>
        <w:t>6. 기록 및 추적</w:t>
      </w:r>
    </w:p>
    <w:p>
      <w:pPr>
        <w:spacing w:after="40"/>
        <w:ind w:left="283"/>
      </w:pPr>
      <w:r>
        <w:rPr>
          <w:rFonts w:ascii="Malgun Gothic" w:hAnsi="Malgun Gothic" w:eastAsia="Malgun Gothic"/>
          <w:b w:val="0"/>
          <w:sz w:val="20"/>
        </w:rPr>
        <w:t>모든 계약서는 계약번호를 부여하여 계약관리대장에 등록하고 원본을 5년 이상 보관한다.</w:t>
      </w:r>
    </w:p>
    <w:p>
      <w:r>
        <w:br w:type="page"/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1F4E79"/>
          <w:sz w:val="32"/>
        </w:rPr>
        <w:t>제2장  계약 유형 분류 및 선정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제5조 (계약 유형 분류 체계 A~H)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계약 유형은 거래의 성격과 지역에 따라 다음과 같이 분류한다. 기존 A~D 유형에 추가하여 E(임대)·F(외주가공)·G(금형매매)·H(부속)를 포함한 8개 대분류 체계로 운영한다.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850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코드</w:t>
            </w:r>
          </w:p>
        </w:tc>
        <w:tc>
          <w:tcPr>
            <w:tcW w:type="dxa" w:w="1304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유형</w:t>
            </w:r>
          </w:p>
        </w:tc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지역</w:t>
            </w:r>
          </w:p>
        </w:tc>
        <w:tc>
          <w:tcPr>
            <w:tcW w:type="dxa" w:w="2835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적용 대상</w:t>
            </w:r>
          </w:p>
        </w:tc>
        <w:tc>
          <w:tcPr>
            <w:tcW w:type="dxa" w:w="2948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적용 표준계약서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A-1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정기 구매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국내(베트남)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연간·반복 거래, PO 발주 운영</w:t>
            </w:r>
          </w:p>
        </w:tc>
        <w:tc>
          <w:tcPr>
            <w:tcW w:type="dxa" w:w="29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A-1_정기구매_국내_표준계약서.docx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A-2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정기 구매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해외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연간·반복 거래, Incoterms·L/C 적용</w:t>
            </w:r>
          </w:p>
        </w:tc>
        <w:tc>
          <w:tcPr>
            <w:tcW w:type="dxa" w:w="29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A-2_정기구매_해외_표준계약서.docx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B-1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일회성 구매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국내(베트남)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단발성 거래, 단건 PO</w:t>
            </w:r>
          </w:p>
        </w:tc>
        <w:tc>
          <w:tcPr>
            <w:tcW w:type="dxa" w:w="29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B-1_일회성구매_국내_표준계약서.docx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B-2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일회성 구매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해외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단발성 수입 거래</w:t>
            </w:r>
          </w:p>
        </w:tc>
        <w:tc>
          <w:tcPr>
            <w:tcW w:type="dxa" w:w="29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B-2_일회성구매_해외_표준계약서.docx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C-1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장비·설비 구매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국내(베트남)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설치·시운전·검수 포함</w:t>
            </w:r>
          </w:p>
        </w:tc>
        <w:tc>
          <w:tcPr>
            <w:tcW w:type="dxa" w:w="29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C-1_장비설비구매_국내_표준계약서.docx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C-2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장비·설비 구매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해외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Incoterms DAP/DDP, 제조사 보증</w:t>
            </w:r>
          </w:p>
        </w:tc>
        <w:tc>
          <w:tcPr>
            <w:tcW w:type="dxa" w:w="29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C-2_장비설비구매_해외_표준계약서.docx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D-1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수리·정비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국내(베트남)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 범위·보증·산업안전 포함</w:t>
            </w:r>
          </w:p>
        </w:tc>
        <w:tc>
          <w:tcPr>
            <w:tcW w:type="dxa" w:w="29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D-1_수리정비_국내_표준계약서.docx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D-2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수리·정비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해외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해외 기술자 파견·부품 통관 포함</w:t>
            </w:r>
          </w:p>
        </w:tc>
        <w:tc>
          <w:tcPr>
            <w:tcW w:type="dxa" w:w="29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D-2_수리정비_해외_표준계약서.docx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E-1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설비 임대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국내(베트남)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유·무상 임대, 생산의무·회수권 포함</w:t>
            </w:r>
          </w:p>
        </w:tc>
        <w:tc>
          <w:tcPr>
            <w:tcW w:type="dxa" w:w="29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E-1_설비임대_국내_표준계약서.docx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F-1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외주 가공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국내(베트남)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사출·도금·도장 등 가공 위탁</w:t>
            </w:r>
          </w:p>
        </w:tc>
        <w:tc>
          <w:tcPr>
            <w:tcW w:type="dxa" w:w="29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F-1_외주가공_국내_표준계약서.docx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H-1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비밀유지(NDA)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국내·해외 공통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상호형/편무형, 5년 의무</w:t>
            </w:r>
          </w:p>
        </w:tc>
        <w:tc>
          <w:tcPr>
            <w:tcW w:type="dxa" w:w="29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H-1_NDA_표준계약서.docx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H-3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연간 단가계약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국내·해외 공통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다수 장비 일괄수리·반복 부품 공급</w:t>
            </w:r>
          </w:p>
        </w:tc>
        <w:tc>
          <w:tcPr>
            <w:tcW w:type="dxa" w:w="294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H-3_연간단가계약_표준계약서.docx</w:t>
            </w:r>
          </w:p>
        </w:tc>
      </w:tr>
    </w:tbl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제6조 (거래 규모 기준선)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거래 규모는 계약서 선택·보증 방식·결재 단계의 기준이 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381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소액 (간이계약)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중액 (표준계약서)</w:t>
            </w:r>
          </w:p>
        </w:tc>
        <w:tc>
          <w:tcPr>
            <w:tcW w:type="dxa" w:w="2438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대액 (표준+보증+특별승인)</w:t>
            </w:r>
          </w:p>
        </w:tc>
      </w:tr>
      <w:tr>
        <w:tc>
          <w:tcPr>
            <w:tcW w:type="dxa" w:w="238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구매·일회성 (VND)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2억VND 미만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2억~10억VND</w:t>
            </w:r>
          </w:p>
        </w:tc>
        <w:tc>
          <w:tcPr>
            <w:tcW w:type="dxa" w:w="243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10억VND 이상</w:t>
            </w:r>
          </w:p>
        </w:tc>
      </w:tr>
      <w:tr>
        <w:tc>
          <w:tcPr>
            <w:tcW w:type="dxa" w:w="238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구매·일회성 (USD)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USD 10,000 미만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USD 10,000~50,000</w:t>
            </w:r>
          </w:p>
        </w:tc>
        <w:tc>
          <w:tcPr>
            <w:tcW w:type="dxa" w:w="243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USD 50,000 이상</w:t>
            </w:r>
          </w:p>
        </w:tc>
      </w:tr>
      <w:tr>
        <w:tc>
          <w:tcPr>
            <w:tcW w:type="dxa" w:w="238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장비·설비 (VND)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10억VND 미만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10억~20억VND</w:t>
            </w:r>
          </w:p>
        </w:tc>
        <w:tc>
          <w:tcPr>
            <w:tcW w:type="dxa" w:w="243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20억VND 이상</w:t>
            </w:r>
          </w:p>
        </w:tc>
      </w:tr>
      <w:tr>
        <w:tc>
          <w:tcPr>
            <w:tcW w:type="dxa" w:w="238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장비·설비 (USD)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USD 30,000 미만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USD 30,000~100,000</w:t>
            </w:r>
          </w:p>
        </w:tc>
        <w:tc>
          <w:tcPr>
            <w:tcW w:type="dxa" w:w="243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USD 100,000 이상</w:t>
            </w:r>
          </w:p>
        </w:tc>
      </w:tr>
      <w:tr>
        <w:tc>
          <w:tcPr>
            <w:tcW w:type="dxa" w:w="238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수리·정비 (VND)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1억VND 미만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1억~5억VND</w:t>
            </w:r>
          </w:p>
        </w:tc>
        <w:tc>
          <w:tcPr>
            <w:tcW w:type="dxa" w:w="243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5억VND 이상</w:t>
            </w:r>
          </w:p>
        </w:tc>
      </w:tr>
      <w:tr>
        <w:tc>
          <w:tcPr>
            <w:tcW w:type="dxa" w:w="238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수리·정비 (USD)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USD 10,000 미만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USD 10,000~50,000</w:t>
            </w:r>
          </w:p>
        </w:tc>
        <w:tc>
          <w:tcPr>
            <w:tcW w:type="dxa" w:w="243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USD 50,000 이상</w:t>
            </w:r>
          </w:p>
        </w:tc>
      </w:tr>
      <w:tr>
        <w:tc>
          <w:tcPr>
            <w:tcW w:type="dxa" w:w="238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단가계약(연간, VND)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5억VND 미만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5억~20억VND</w:t>
            </w:r>
          </w:p>
        </w:tc>
        <w:tc>
          <w:tcPr>
            <w:tcW w:type="dxa" w:w="243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20억VND 이상</w:t>
            </w:r>
          </w:p>
        </w:tc>
      </w:tr>
      <w:tr>
        <w:tc>
          <w:tcPr>
            <w:tcW w:type="dxa" w:w="238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임대·외주가공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연간 1억VND 미만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연간 1억~5억VND</w:t>
            </w:r>
          </w:p>
        </w:tc>
        <w:tc>
          <w:tcPr>
            <w:tcW w:type="dxa" w:w="243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연간 5억VND 이상</w:t>
            </w:r>
          </w:p>
        </w:tc>
      </w:tr>
    </w:tbl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제7조 (상황별 표준계약서 선정)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계약 담당자는 수요가 접수되면 다음 의사결정 순서에 따라 적용 유형을 확정한다.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질문</w:t>
            </w:r>
          </w:p>
        </w:tc>
        <w:tc>
          <w:tcPr>
            <w:tcW w:type="dxa" w:w="6236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분기 기준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Step 1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거래 성격은?</w:t>
            </w:r>
          </w:p>
        </w:tc>
        <w:tc>
          <w:tcPr>
            <w:tcW w:type="dxa" w:w="623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정기·반복 ⇒ A / 일회성 ⇒ B / 설비 ⇒ C / 수리 ⇒ D / 임대 ⇒ E / 외주 ⇒ F / 금형 ⇒ G / 부속 ⇒ H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Step 2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거래 상대방 지역?</w:t>
            </w:r>
          </w:p>
        </w:tc>
        <w:tc>
          <w:tcPr>
            <w:tcW w:type="dxa" w:w="623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베트남 내 ⇒ -1 / 해외 ⇒ -2 (A~F 공통)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Step 3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거래 규모는?</w:t>
            </w:r>
          </w:p>
        </w:tc>
        <w:tc>
          <w:tcPr>
            <w:tcW w:type="dxa" w:w="623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소액 ⇒ 간이계약서 / 중액 ⇒ 표준계약서 / 대액 ⇒ 표준+보증+특별승인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Step 4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특수 리스크?</w:t>
            </w:r>
          </w:p>
        </w:tc>
        <w:tc>
          <w:tcPr>
            <w:tcW w:type="dxa" w:w="623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원격접속·개인정보·환경폐기물·해외기술자 파견 등 ⇒ 해당 특수 조항 삽입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Step 5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NDA 필요성?</w:t>
            </w:r>
          </w:p>
        </w:tc>
        <w:tc>
          <w:tcPr>
            <w:tcW w:type="dxa" w:w="623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기술정보·생산데이터·설계도면 제공 시 ⇒ H-1(NDA) 선행 체결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1F4E79"/>
          <w:sz w:val="32"/>
        </w:rPr>
        <w:t>제3장  결재권한 및 업무분장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제8조 (결재권한 매트릭스)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모든 계약은 아래 매트릭스에 따라 결재한다. 결재선을 생략하거나 역순 결재할 수 없다.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587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거래 구분</w:t>
            </w:r>
          </w:p>
        </w:tc>
        <w:tc>
          <w:tcPr>
            <w:tcW w:type="dxa" w:w="1814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최종 결재</w:t>
            </w:r>
          </w:p>
        </w:tc>
        <w:tc>
          <w:tcPr>
            <w:tcW w:type="dxa" w:w="1304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2차 검토</w:t>
            </w:r>
          </w:p>
        </w:tc>
        <w:tc>
          <w:tcPr>
            <w:tcW w:type="dxa" w:w="1531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1차 기안·검토</w:t>
            </w:r>
          </w:p>
        </w:tc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법무 검토 수준</w:t>
            </w:r>
          </w:p>
        </w:tc>
        <w:tc>
          <w:tcPr>
            <w:tcW w:type="dxa" w:w="1587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필요 문서</w:t>
            </w:r>
          </w:p>
        </w:tc>
      </w:tr>
      <w:tr>
        <w:tc>
          <w:tcPr>
            <w:tcW w:type="dxa" w:w="15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소액 (간이)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부서장 전결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팀장 검토</w:t>
            </w:r>
          </w:p>
        </w:tc>
        <w:tc>
          <w:tcPr>
            <w:tcW w:type="dxa" w:w="153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담당자 기안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-</w:t>
            </w:r>
          </w:p>
        </w:tc>
        <w:tc>
          <w:tcPr>
            <w:tcW w:type="dxa" w:w="15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PO·품의서</w:t>
            </w:r>
          </w:p>
        </w:tc>
      </w:tr>
      <w:tr>
        <w:tc>
          <w:tcPr>
            <w:tcW w:type="dxa" w:w="15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중액 (표준)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법인장 승인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부서장 검토</w:t>
            </w:r>
          </w:p>
        </w:tc>
        <w:tc>
          <w:tcPr>
            <w:tcW w:type="dxa" w:w="153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팀장 검토·담당자 기안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법무 약식검토</w:t>
            </w:r>
          </w:p>
        </w:tc>
        <w:tc>
          <w:tcPr>
            <w:tcW w:type="dxa" w:w="15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품의서+계약서 초안</w:t>
            </w:r>
          </w:p>
        </w:tc>
      </w:tr>
      <w:tr>
        <w:tc>
          <w:tcPr>
            <w:tcW w:type="dxa" w:w="15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대액 (특별)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법인장 승인 + 본사 사전보고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부서장 검토</w:t>
            </w:r>
          </w:p>
        </w:tc>
        <w:tc>
          <w:tcPr>
            <w:tcW w:type="dxa" w:w="153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팀장 검토·담당자 기안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법무 정식검토 + 리스크심의위</w:t>
            </w:r>
          </w:p>
        </w:tc>
        <w:tc>
          <w:tcPr>
            <w:tcW w:type="dxa" w:w="15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품의서+계약서+리스크심의서</w:t>
            </w:r>
          </w:p>
        </w:tc>
      </w:tr>
      <w:tr>
        <w:tc>
          <w:tcPr>
            <w:tcW w:type="dxa" w:w="15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NDA·보증서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법인장 승인 (유형 불문)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법무 검토</w:t>
            </w:r>
          </w:p>
        </w:tc>
        <w:tc>
          <w:tcPr>
            <w:tcW w:type="dxa" w:w="153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담당자 기안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법무 정식검토</w:t>
            </w:r>
          </w:p>
        </w:tc>
        <w:tc>
          <w:tcPr>
            <w:tcW w:type="dxa" w:w="15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품의서+NDA/보증서</w:t>
            </w:r>
          </w:p>
        </w:tc>
      </w:tr>
      <w:tr>
        <w:tc>
          <w:tcPr>
            <w:tcW w:type="dxa" w:w="15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본사 Guaranty</w:t>
            </w:r>
          </w:p>
        </w:tc>
        <w:tc>
          <w:tcPr>
            <w:tcW w:type="dxa" w:w="181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한국 본사 승인</w:t>
            </w:r>
          </w:p>
        </w:tc>
        <w:tc>
          <w:tcPr>
            <w:tcW w:type="dxa" w:w="130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법인장 기안</w:t>
            </w:r>
          </w:p>
        </w:tc>
        <w:tc>
          <w:tcPr>
            <w:tcW w:type="dxa" w:w="153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-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본사 법무·재경 검토</w:t>
            </w:r>
          </w:p>
        </w:tc>
        <w:tc>
          <w:tcPr>
            <w:tcW w:type="dxa" w:w="15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본사 품의</w:t>
            </w:r>
          </w:p>
        </w:tc>
      </w:tr>
    </w:tbl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제9조 (업무분장)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부서/직무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주요 역할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요청부서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수요 발생·업체 추천·기술 사양서 작성·검수 주관·사후 성능 평가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구매팀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업체 조사·견적 비교·단가 협상·계약서 초안 작성·PO 발행·대금 지급 요청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기술/설비팀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기술 사양 검토·설치 기준·시운전 참관·검수 합격 판정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품질팀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품질 기준 수립·수입검사·불량 처리 주관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법무(또는 지정 담당)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계약서 법률 검토·리스크 심의·분쟁 대응·법령 변경 모니터링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재경팀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결제통화·환율·세금계산서·외환송금 절차·인지세·VAT·지급스케줄 관리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총무·문서관리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계약서 원본 보관·계약관리대장 운영·계약번호 부여·공증 수속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안전·환경팀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공장 내 수리 작업·외주 가공 공정의 산업안전·폐기물 처리 관리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법인장(부총경리)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중액 이상 계약 최종 승인·대표서명·분쟁 대응 총괄</w:t>
            </w:r>
          </w:p>
        </w:tc>
      </w:tr>
    </w:tbl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제10조 (위임전결 및 특별승인)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부재 시 위임전결: 법인장 부재 시 지정 대리인이 결재하며, 사후 24시간 이내 법인장에게 보고한다.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긴급성 특례: 생산 중단·안전 사고 등 긴급 수리가 필요한 경우 구두 승인 후 72시간 이내 서면 품의를 완료한다.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본사 사전보고 대상: 대액 거래, 본사 연대보증 필요 거래, 5년 초과 장기계약, 베트남 외 분쟁관할 합의 거래는 반드시 한국 본사에 사전 보고한다.</w:t>
      </w:r>
    </w:p>
    <w:p>
      <w:r>
        <w:br w:type="page"/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1F4E79"/>
          <w:sz w:val="32"/>
        </w:rPr>
        <w:t>제4장  계약 업무 프로세스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아래 7단계는 모든 계약에 공통 적용되며, 간이계약서는 제13조(리스크 심의)를 생략할 수 있다.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제11조 (1단계 — 기안: 수요발생 → 업체선정)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단계</w:t>
            </w:r>
          </w:p>
        </w:tc>
        <w:tc>
          <w:tcPr>
            <w:tcW w:type="dxa" w:w="7654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① 수요 발생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요청부서가 수요(자재·장비·수리·임대 등)를 기안한다. 기술 사양서·예상 금액·요청 납기를 구체적으로 기재한다.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② 구매 요청(PR)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요청부서 → 구매팀 PR 발행. 구매팀이 접수일·건번을 부여한다.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③ 업체 조사 및 견적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최소 3개사 견적 비교를 원칙으로 하며, 단일 공급자(Sole Source)인 경우 사유서를 첨부한다.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④ 업체 적격성 심사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사업자등록증(ĐKKD)·세무신고증·재무제표·유사 실적·안전보건 인증 확인. 해외업체는 D&amp;B 또는 공신력 있는 신용평가 결과 첨부 권장.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⑤ 업체 선정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견적 비교표·기술 평가표·신용도 평가를 종합하여 결재권자에게 업체 선정 품의.</w:t>
            </w:r>
          </w:p>
        </w:tc>
      </w:tr>
    </w:tbl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제12조 (2단계 — 계약서 작성)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담당자는 제5조의 분류 체계에 따라 표준계약서를 선택한다. 상대방이 자체 양식을 요구하는 경우, 차액 심의 없이 수용하지 않는다.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공란(__________) 항목은 모두 기입하여야 하며, 삭제·수정한 조항은 변경 이력(Revision Log)에 기록한다.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베트남어를 마스터 언어로 하고, 한국어·영어는 참조용으로 병기한다. 해석 우선 언어는 제33조에 따른다.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담당자는 작성된 초안에 계약번호(임시)·작성일자·작성자를 표기한 뒤 팀장 검토를 받는다.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제13조 (3단계 — 내부 검토 및 리스크 심의)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법무(또는 지정 담당)는 아래 체크리스트에 따라 계약서 전 조항을 검토하고 "리스크심의서(별지 제3호)"를 작성한다.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7087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체크 항목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중요도</w:t>
            </w:r>
          </w:p>
        </w:tc>
      </w:tr>
      <w:tr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1. 선급금 ≤ 30% 및 보증서 징구 여부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필수</w:t>
            </w:r>
          </w:p>
        </w:tc>
      </w:tr>
      <w:tr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2. 잔금 ≥ 10%의 검수 후 지급 여부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필수</w:t>
            </w:r>
          </w:p>
        </w:tc>
      </w:tr>
      <w:tr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3. 지체상금률 vs 지급지체이자율 대칭성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필수</w:t>
            </w:r>
          </w:p>
        </w:tc>
      </w:tr>
      <w:tr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4. 손해배상 상한(Liability Cap) 명시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필수</w:t>
            </w:r>
          </w:p>
        </w:tc>
      </w:tr>
      <w:tr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5. 위약금 상한 ≤ 8% (베트남 상법 제301조)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필수</w:t>
            </w:r>
          </w:p>
        </w:tc>
      </w:tr>
      <w:tr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6. 일방적 해지권 + 치유기간 15~30일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필수</w:t>
            </w:r>
          </w:p>
        </w:tc>
      </w:tr>
      <w:tr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7. 분쟁해결: VIAC/SIAC/ICC (매도인국 회피)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필수</w:t>
            </w:r>
          </w:p>
        </w:tc>
      </w:tr>
      <w:tr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8. Incoterms 2020 버전 및 조건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해외 필수</w:t>
            </w:r>
          </w:p>
        </w:tc>
      </w:tr>
      <w:tr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9. 외환관리법 준수 (SBV 승인 필요 여부)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해외 필수</w:t>
            </w:r>
          </w:p>
        </w:tc>
      </w:tr>
      <w:tr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10. 개인정보보호 조항 (NĐ 13/2023)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해당 시 필수</w:t>
            </w:r>
          </w:p>
        </w:tc>
      </w:tr>
      <w:tr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11. 지식재산권(IP) 귀속 명시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기술·가공·금형 필수</w:t>
            </w:r>
          </w:p>
        </w:tc>
      </w:tr>
      <w:tr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12. 보증기간 기산점 = 최종 검수완료일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권고</w:t>
            </w:r>
          </w:p>
        </w:tc>
      </w:tr>
      <w:tr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13. C/O 제출 의무 (FTA 관세 혜택)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해외 권고</w:t>
            </w:r>
          </w:p>
        </w:tc>
      </w:tr>
      <w:tr>
        <w:tc>
          <w:tcPr>
            <w:tcW w:type="dxa" w:w="708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14. 언어·해석 우선순위 명시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필수</w:t>
            </w:r>
          </w:p>
        </w:tc>
      </w:tr>
    </w:tbl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리스크심의서는 위험 등급(HIGH/MEDIUM/LOW)을 지정하고, HIGH 1건 이상인 경우 반드시 법인장 승인 단계에서 별도 보고한다.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제14조 (4단계 — 결재 및 승인)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품의서는 계약서 초안·견적비교표·리스크심의서·보증서(사본)를 첨부한다.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결재권자는 제8조 매트릭스에 따르며, 결재 누락·역순은 무효로 간주한다.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결재 과정에서 수정 요청이 발생한 경우 담당자는 변경 이력을 기록하고, 재결재를 받아야 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제15조 (5단계 — 계약 체결)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최종 승인된 계약서는 2부(또는 3부)를 출력하여 갑·을 대표가 각각 서명·날인한다.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서명권자는 회사 대표자 또는 위임받은 자에 한하며, 법인인감·회사직인을 사용한다.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베트남 국내 계약은 베트남어본에 인감(Con dấu)을 날인하고, 필요 시 공증(Công chứng)한다.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해외 계약은 영문본 원본 서명이 기본이며, 베트남어 번역본은 참조용으로 관리한다. PDF 전자서명·DocuSign 사용 시 법무 사전 승인이 필요하다.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⑤ 체결 후 구매팀은 계약번호(정식)을 부여하고 계약관리대장에 등록한다.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제16조 (6단계 — 계약 이행)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선급금 지급 전 반드시 이행보증서·환불보증서 원본 수령을 확인한다.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중도금·잔금 지급은 지급 사유(공장 출하·선적·설치 완료·시운전 합격·검수 합격) 증빙을 확보한 후 재경팀 요청으로 집행한다.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검수는 요청부서·품질팀·기술팀 합동으로 수행하며, 검수확인서(별지 제5호)로 합격 여부를 공식 판정한다.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지체·품질 이슈 발생 시 서면 통지(Nofification)를 발송하여 베트남 상법·민법상 권리를 보전한다.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제17조 (7단계 — 사후 관리)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계약 이행 완료 후 구매팀은 "계약종결 보고서"를 작성하여 결재권자에게 보고한다.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보증기간 중 하자·재고장 발생 시 해당 계약서를 기반으로 무상 수리·교체를 청구한다.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정기계약은 만료 60일 전까지 갱신 여부를 검토하고, 자동갱신 조항이 있는 경우 60일 전 서면 통지로 거부한다.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공급업체 성과평가(SQCD: Safety·Quality·Cost·Delivery)를 연 1회 실시하여 차기 갱신 근거로 활용한다.</w:t>
      </w:r>
    </w:p>
    <w:p>
      <w:r>
        <w:br w:type="page"/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1F4E79"/>
          <w:sz w:val="32"/>
        </w:rPr>
        <w:t>제5장  베트남 법률 준수 필수사항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제18조 (베트남 상법 특례)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근거</w:t>
            </w:r>
          </w:p>
        </w:tc>
        <w:tc>
          <w:tcPr>
            <w:tcW w:type="dxa" w:w="5669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요지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위약금 상한 8%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상법 제301조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위약금(Phạt vi phạm)은 계약금액의 8%를 초과할 수 없다. 실손해 배상은 위약금과 별도로 청구 가능.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법정 지연이자 10%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민법 제357조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매수인 지급지체 시 지연이자율 상한은 연 10% 수준. 계약에 별도 명시 시 이를 초과하지 않도록 한다.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물품 검수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상법 제44조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합리적 기간 내 검수 원칙. 계약에 '이의 없으면 합격' 간주 조항 시 기간을 최소 7~14일 이상으로 설정.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불가항력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민법 제156조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천재지변·전염병·전쟁·정부조치 등 통제 불능 사유. 통지기간 5~7일 이내, 60일 이상 지속 시 일방 해지권.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계약 해지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상법 제312조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중대한 위반 시 해지 가능하되 치유기간(Cure Period) 15~30일 필수.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연대책임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민법 제288조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3자 계약(매도인≠제조사) 시 연대책임 명시 필요.</w:t>
            </w:r>
          </w:p>
        </w:tc>
      </w:tr>
      <w:tr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손해배상 범위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상법 제302조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실제 손해 + 직접 일실이익. 간접손해 제외 여부는 명시적 합의 필요.</w:t>
            </w:r>
          </w:p>
        </w:tc>
      </w:tr>
    </w:tbl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제19조 (외환관리 및 결제통화)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SBV 외환규정에 따라 베트남 내 거래는 VND 결제를 원칙으로 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해외 거래는 USD 기본, 상황에 따라 EUR·CNY·JPY·KRW 허용하되 SBV 사전 승인·증빙서류(계약서·Invoice·통관서류)를 확보한다.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환율은 SBV 고시환율을 기준으로 ±3~5% 변동 허용 범위를 약정한다.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제20조 (세무 준수)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베트남 국내 거래는 전자세금계산서(Hóa đơn GTGT điện tử) 발행을 필수 요건으로 명시한다.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계약서 자체에는 인지세가 없으나 설비·차량 등 등록 대상 자산은 등록세(Lệ phí trước bạ) 부담 주체를 명시한다.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하도급(M&amp;C가 원청 하청으로 조달) 구조에서 "원청 대금 수령 후 지급" 조항은 베트남법상 유효성이 불확실하므로 사용을 금지한다.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제21조 (개인정보보호법 - NĐ 13/2023)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개인정보(공급업체 직원 명단·출입기록·원격접속 로그 등)가 수반되는 계약은 정보주체 동의, 국외 이전 제한, 영향평가, 개인정보보호책임자(DPO) 지정을 조항화한다.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해외 수리업체의 원격접속(Remote Access) 계약은 VPN 사용·접속 로그 기록·별도 NDA 체결을 의무화한다.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제22조 (산업안전·환경)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회사 공장 내에서 수행되는 수리·외주 가공·설치 작업은 베트남 산업안전위생법(2015) 및 시행령 NĐ 39/2016을 준수한다.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수리업체 작업자의 산재보험 가입, 보호구 착용, 화기작업 허가서, 고소작업 안전조치 등을 계약에 명시한다.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수리 폐기물(폐유·금속스크랩·화학물질)은 환경보호법(2020) 및 NĐ 08/2022에 따라 인가 업체로 위탁 처리하도록 한다.</w:t>
      </w:r>
    </w:p>
    <w:p>
      <w:r>
        <w:br w:type="page"/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1F4E79"/>
          <w:sz w:val="32"/>
        </w:rPr>
        <w:t>제6장  리스크 관리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제23조 (갑 불리 체크포인트 12선)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아래 12개 항목은 계약서 초안 검토 시 반드시 확인하여야 한다. 한 항목이라도 미충족 시 수정·삭제·보완한 뒤에만 체결할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No</w:t>
            </w:r>
          </w:p>
        </w:tc>
        <w:tc>
          <w:tcPr>
            <w:tcW w:type="dxa" w:w="1984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위험 항목</w:t>
            </w:r>
          </w:p>
        </w:tc>
        <w:tc>
          <w:tcPr>
            <w:tcW w:type="dxa" w:w="5386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대응 기준</w:t>
            </w:r>
          </w:p>
        </w:tc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적용 유형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선급금 과다</w:t>
            </w:r>
          </w:p>
        </w:tc>
        <w:tc>
          <w:tcPr>
            <w:tcW w:type="dxa" w:w="538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선급금 30% 이하 + 이행보증보험/환불보증서 필수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전 유형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2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검수 전 대금지급</w:t>
            </w:r>
          </w:p>
        </w:tc>
        <w:tc>
          <w:tcPr>
            <w:tcW w:type="dxa" w:w="538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잔금 최소 10%는 검수 후 지급, 장비는 30% 이상 유보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B·C·D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3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지체상금 비대칭</w:t>
            </w:r>
          </w:p>
        </w:tc>
        <w:tc>
          <w:tcPr>
            <w:tcW w:type="dxa" w:w="538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상호 대칭. 갑 지급지체이자 ≤ 을 지체상금률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전 유형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4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손해배상 무한책임</w:t>
            </w:r>
          </w:p>
        </w:tc>
        <w:tc>
          <w:tcPr>
            <w:tcW w:type="dxa" w:w="538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상한: 계약금액의 150~200%, 간접손해 제외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전 유형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5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매도인 일방 해지권</w:t>
            </w:r>
          </w:p>
        </w:tc>
        <w:tc>
          <w:tcPr>
            <w:tcW w:type="dxa" w:w="538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15~30일 서면통지·치유기간·선급금 반환 의무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전 유형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6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보증기간 기산</w:t>
            </w:r>
          </w:p>
        </w:tc>
        <w:tc>
          <w:tcPr>
            <w:tcW w:type="dxa" w:w="538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기산점 = 최종 검수완료일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전 유형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7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3자계약 책임분산</w:t>
            </w:r>
          </w:p>
        </w:tc>
        <w:tc>
          <w:tcPr>
            <w:tcW w:type="dxa" w:w="538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연대책임 + 제조사 직접 보증서 별도 징구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B-2·C-2·D-2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8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외환규정 위반</w:t>
            </w:r>
          </w:p>
        </w:tc>
        <w:tc>
          <w:tcPr>
            <w:tcW w:type="dxa" w:w="538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결제통화·송금방식 SBV 사전 확인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해외 전 유형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9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중재장소·언어 불리</w:t>
            </w:r>
          </w:p>
        </w:tc>
        <w:tc>
          <w:tcPr>
            <w:tcW w:type="dxa" w:w="538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VIAC/SIAC/ICC, 영어 또는 베트남어, 매도인국 회피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해외 전 유형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10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수리범위 불명확</w:t>
            </w:r>
          </w:p>
        </w:tc>
        <w:tc>
          <w:tcPr>
            <w:tcW w:type="dxa" w:w="538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SOW(Scope of Work) 필수, 부품목록·공정 명시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11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 후 보증 부재</w:t>
            </w:r>
          </w:p>
        </w:tc>
        <w:tc>
          <w:tcPr>
            <w:tcW w:type="dxa" w:w="538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보증 6~12개월, 동일부위 재고장 무상 재수리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12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다수장비 단가 미확정</w:t>
            </w:r>
          </w:p>
        </w:tc>
        <w:tc>
          <w:tcPr>
            <w:tcW w:type="dxa" w:w="538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연간 단가계약 + 수량 ±20% + 월간 정산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D·H-3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 w:cs="Malgun Gothic"/>
              </w:rPr>
              <w:t>13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 w:cs="Malgun Gothic"/>
              </w:rPr>
              <w:t>임대 설비 손상·분실</w:t>
            </w:r>
          </w:p>
        </w:tc>
        <w:tc>
          <w:tcPr>
            <w:tcW w:type="dxa" w:w="538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 w:cs="Malgun Gothic"/>
              </w:rPr>
              <w:t>설비 보험 가입 의무화, 손상 시 원상복구 또는 동등 배상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 w:cs="Malgun Gothic"/>
              </w:rPr>
              <w:t>E-1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 w:cs="Malgun Gothic"/>
              </w:rPr>
            </w:r>
            <w:r>
              <w:rPr>
                <w:rFonts w:ascii="Malgun Gothic" w:hAnsi="Malgun Gothic" w:eastAsia="Malgun Gothic" w:cs="Malgun Gothic"/>
              </w:rPr>
              <w:t>14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 w:cs="Malgun Gothic"/>
              </w:rPr>
            </w:r>
            <w:r>
              <w:rPr>
                <w:rFonts w:ascii="Malgun Gothic" w:hAnsi="Malgun Gothic" w:eastAsia="Malgun Gothic" w:cs="Malgun Gothic"/>
              </w:rPr>
              <w:t>가공 폐기물 불법 처리</w:t>
            </w:r>
          </w:p>
        </w:tc>
        <w:tc>
          <w:tcPr>
            <w:tcW w:type="dxa" w:w="538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 w:cs="Malgun Gothic"/>
              </w:rPr>
            </w:r>
            <w:r>
              <w:rPr>
                <w:rFonts w:ascii="Malgun Gothic" w:hAnsi="Malgun Gothic" w:eastAsia="Malgun Gothic" w:cs="Malgun Gothic"/>
              </w:rPr>
              <w:t>환경부 허가 폐기물 업체 사용, 처리 증명서 제출 의무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 w:cs="Malgun Gothic"/>
              </w:rPr>
            </w:r>
            <w:r>
              <w:rPr>
                <w:rFonts w:ascii="Malgun Gothic" w:hAnsi="Malgun Gothic" w:eastAsia="Malgun Gothic" w:cs="Malgun Gothic"/>
              </w:rPr>
              <w:t>F-1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 w:cs="Malgun Gothic"/>
              </w:rPr>
            </w:r>
            <w:r>
              <w:rPr>
                <w:rFonts w:ascii="Malgun Gothic" w:hAnsi="Malgun Gothic" w:eastAsia="Malgun Gothic" w:cs="Malgun Gothic"/>
              </w:rPr>
            </w:r>
            <w:r>
              <w:rPr>
                <w:rFonts w:ascii="Malgun Gothic" w:hAnsi="Malgun Gothic" w:eastAsia="Malgun Gothic" w:cs="Malgun Gothic"/>
              </w:rPr>
              <w:t>15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 w:cs="Malgun Gothic"/>
              </w:rPr>
            </w:r>
            <w:r>
              <w:rPr>
                <w:rFonts w:ascii="Malgun Gothic" w:hAnsi="Malgun Gothic" w:eastAsia="Malgun Gothic" w:cs="Malgun Gothic"/>
              </w:rPr>
            </w:r>
            <w:r>
              <w:rPr>
                <w:rFonts w:ascii="Malgun Gothic" w:hAnsi="Malgun Gothic" w:eastAsia="Malgun Gothic" w:cs="Malgun Gothic"/>
              </w:rPr>
              <w:t>NDA 위반·비밀 누설</w:t>
            </w:r>
          </w:p>
        </w:tc>
        <w:tc>
          <w:tcPr>
            <w:tcW w:type="dxa" w:w="538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 w:cs="Malgun Gothic"/>
              </w:rPr>
            </w:r>
            <w:r>
              <w:rPr>
                <w:rFonts w:ascii="Malgun Gothic" w:hAnsi="Malgun Gothic" w:eastAsia="Malgun Gothic" w:cs="Malgun Gothic"/>
              </w:rPr>
            </w:r>
            <w:r>
              <w:rPr>
                <w:rFonts w:ascii="Malgun Gothic" w:hAnsi="Malgun Gothic" w:eastAsia="Malgun Gothic" w:cs="Malgun Gothic"/>
              </w:rPr>
              <w:t>위약금 계약금액의 200% 이상, 의무기간 5년 명시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 w:cs="Malgun Gothic"/>
              </w:rPr>
            </w:r>
            <w:r>
              <w:rPr>
                <w:rFonts w:ascii="Malgun Gothic" w:hAnsi="Malgun Gothic" w:eastAsia="Malgun Gothic" w:cs="Malgun Gothic"/>
              </w:rPr>
            </w:r>
            <w:r>
              <w:rPr>
                <w:rFonts w:ascii="Malgun Gothic" w:hAnsi="Malgun Gothic" w:eastAsia="Malgun Gothic" w:cs="Malgun Gothic"/>
              </w:rPr>
              <w:t>H-1</w:t>
            </w:r>
          </w:p>
        </w:tc>
      </w:tr>
      <w:tr>
        <w:tc>
          <w:tcPr>
            <w:tcW w:type="dxa" w:w="56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 w:cs="Malgun Gothic"/>
              </w:rPr>
            </w:r>
            <w:r>
              <w:rPr>
                <w:rFonts w:ascii="Malgun Gothic" w:hAnsi="Malgun Gothic" w:eastAsia="Malgun Gothic" w:cs="Malgun Gothic"/>
              </w:rPr>
            </w:r>
            <w:r>
              <w:rPr>
                <w:rFonts w:ascii="Malgun Gothic" w:hAnsi="Malgun Gothic" w:eastAsia="Malgun Gothic" w:cs="Malgun Gothic"/>
              </w:rPr>
            </w:r>
            <w:r>
              <w:rPr>
                <w:rFonts w:ascii="Malgun Gothic" w:hAnsi="Malgun Gothic" w:eastAsia="Malgun Gothic" w:cs="Malgun Gothic"/>
              </w:rPr>
              <w:t>16</w:t>
            </w:r>
          </w:p>
        </w:tc>
        <w:tc>
          <w:tcPr>
            <w:tcW w:type="dxa" w:w="198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 w:cs="Malgun Gothic"/>
              </w:rPr>
            </w:r>
            <w:r>
              <w:rPr>
                <w:rFonts w:ascii="Malgun Gothic" w:hAnsi="Malgun Gothic" w:eastAsia="Malgun Gothic" w:cs="Malgun Gothic"/>
              </w:rPr>
            </w:r>
            <w:r>
              <w:rPr>
                <w:rFonts w:ascii="Malgun Gothic" w:hAnsi="Malgun Gothic" w:eastAsia="Malgun Gothic" w:cs="Malgun Gothic"/>
              </w:rPr>
            </w:r>
            <w:r>
              <w:rPr>
                <w:rFonts w:ascii="Malgun Gothic" w:hAnsi="Malgun Gothic" w:eastAsia="Malgun Gothic" w:cs="Malgun Gothic"/>
              </w:rPr>
              <w:t>연간 단가 일방 변경</w:t>
            </w:r>
          </w:p>
        </w:tc>
        <w:tc>
          <w:tcPr>
            <w:tcW w:type="dxa" w:w="5386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 w:cs="Malgun Gothic"/>
              </w:rPr>
            </w:r>
            <w:r>
              <w:rPr>
                <w:rFonts w:ascii="Malgun Gothic" w:hAnsi="Malgun Gothic" w:eastAsia="Malgun Gothic" w:cs="Malgun Gothic"/>
              </w:rPr>
            </w:r>
            <w:r>
              <w:rPr>
                <w:rFonts w:ascii="Malgun Gothic" w:hAnsi="Malgun Gothic" w:eastAsia="Malgun Gothic" w:cs="Malgun Gothic"/>
              </w:rPr>
            </w:r>
            <w:r>
              <w:rPr>
                <w:rFonts w:ascii="Malgun Gothic" w:hAnsi="Malgun Gothic" w:eastAsia="Malgun Gothic" w:cs="Malgun Gothic"/>
              </w:rPr>
              <w:t>단가 변경 90일 전 서면 통보, 협의 후 서면 합의 필수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 w:cs="Malgun Gothic"/>
              </w:rPr>
            </w:r>
            <w:r>
              <w:rPr>
                <w:rFonts w:ascii="Malgun Gothic" w:hAnsi="Malgun Gothic" w:eastAsia="Malgun Gothic" w:cs="Malgun Gothic"/>
              </w:rPr>
            </w:r>
            <w:r>
              <w:rPr>
                <w:rFonts w:ascii="Malgun Gothic" w:hAnsi="Malgun Gothic" w:eastAsia="Malgun Gothic" w:cs="Malgun Gothic"/>
              </w:rPr>
            </w:r>
            <w:r>
              <w:rPr>
                <w:rFonts w:ascii="Malgun Gothic" w:hAnsi="Malgun Gothic" w:eastAsia="Malgun Gothic" w:cs="Malgun Gothic"/>
              </w:rPr>
              <w:t>H-3</w:t>
            </w:r>
          </w:p>
        </w:tc>
      </w:tr>
    </w:tbl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제24조 (선급금 보호 및 보증서)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선급금 30% 초과 지급 시: 이행보증서(Performance Bond) 또는 환불보증서(Refund Guarantee)를 반드시 징구한다.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보증서 발행주체: 베트남 은행, 한국 시중은행, 또는 Standby L/C(해외).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보증금액: 선급금 전액 이상, 유효기간: 최종 검수완료일 + 90일 이상.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제25조 (지체상금·손해배상 대칭성)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매도인 납품지체상금률 ≥ 매수인 지급지체이자율 원칙을 준수한다.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지체상금률 기준: 0.05~0.1%/일, 상한 계약금액의 8%.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위약금(Phạt)과 손해배상(Bồi thường)은 베트남 법상 별개 청구 가능. 계약서에 동시 청구 가능 여부를 명시한다.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제26조 (해지 사유와 치유기간)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해지 사유: 중대한 계약 위반, 지급 지연(기한 후 15~30일), 부도·파산·회생, 부정행위, 제3자 권리침해.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해지 전 반드시 서면통지 후 15~30일의 치유기간(Cure Period)을 부여한다.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해지 시 선급금·중도금 반환 의무, 현장 자산 반출·인계 절차를 조항화한다.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제27조 (분쟁해결 조항)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국내(베트남 상대방): 우호적 협의 → 불성립 시 Bắc Ninh 또는 Hà Nội 인민법원 / VIAC 중재(하노이).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해외 상대방: 우호적 협의 → VIAC(하노이) 또는 SIAC(싱가포르) / ICC 중재. 매도인국 중재(CIETAC 등) 회피.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중재 언어: 영어 또는 베트남어. 중재인 1~3명.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준거법: 베트남법 우선 확보, CISG 적용 여부 명시(위약금 8% 상한 적용 여부가 달라짐).</w:t>
      </w:r>
    </w:p>
    <w:p>
      <w:r>
        <w:br w:type="page"/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1F4E79"/>
          <w:sz w:val="32"/>
        </w:rPr>
        <w:t>제7장  표준 조항 라이브러리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제28조 (공통 필수 조항 14개)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모든 표준계약서는 다음 14개 공통 조항을 포함한다. 유형별 특수 조항은 제29~31조에 정한 것을 추가한다.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조번호</w:t>
            </w:r>
          </w:p>
        </w:tc>
        <w:tc>
          <w:tcPr>
            <w:tcW w:type="dxa" w:w="7654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조항명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제1조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계약 목적 및 정의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제2조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납품(또는 용역) 조건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제3조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대금 및 결제 조건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제4조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품질 기준 및 검수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제5조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지체상금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제6조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기밀유지 및 지식재산권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제7조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계약 해지 및 손해배상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제8조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분쟁해결 및 준거법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제9조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일반 조항 (양도금지·통지·완전합의·가분성)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제10조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효력 발생 및 계약 기간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제11조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불가항력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제12조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개인정보 보호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제13조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수출입 규제 및 제재 (해외 시)</w:t>
            </w:r>
          </w:p>
        </w:tc>
      </w:tr>
      <w:tr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제14조</w:t>
            </w:r>
          </w:p>
        </w:tc>
        <w:tc>
          <w:tcPr>
            <w:tcW w:type="dxa" w:w="765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부속문서 및 변경 (Change Order)</w:t>
            </w:r>
          </w:p>
        </w:tc>
      </w:tr>
    </w:tbl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제29조 (베트남 국내 전용 조항)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조항명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내용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VAT 세금계산서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Hóa đơn GTGT điện tử 발행 의무 및 미이행 시 패널티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등록세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설비·차량 등 등록 대상 자산 구매 시 등록세 부담 주체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하도급/외주 보호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M&amp;C가 원청 하청 시 매도인 대금 지급 의무가 원청 대금 수령 조건부로 되지 않도록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품질 보증서 제공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Giấy bảo hành 별도 제공, 기산일 = 검수완료일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관할법원/중재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Bắc Ninh 인민법원 또는 VIAC(하노이)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이행보증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베트남 은행 발행 Thư bảo lãnh, 대액거래(10억VND 이상) 필수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위약금 상한 명시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계약금액의 8% 이내 (상법 제301조)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선급금 보호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선급금 100% 환불보증 조항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지급지체 보호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치유기간 15~30일, 선급금 몰취 금지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수리업체 자격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사업자등록증·기술자격·산재보험 확인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산업안전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공장 내 작업 시 ATVSLĐ법 준수, 작업허가서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폐기물 처리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환경법 준수, 유해폐기물 인가업체 위탁</w:t>
            </w:r>
          </w:p>
        </w:tc>
      </w:tr>
    </w:tbl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제30조 (해외 전용 조항)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조항명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내용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Incoterms 2020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FOB/CIF/DAP/DDP 선택, DAP/DDP 권장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결제수단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L/C·T/T·D/P·D/A 선택, SBV 외환규정 준수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환율 위험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기준환율·변동허용 ±3~5%·통화 지정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수출입 통관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수출 매도인 책임·수입 M&amp;C 책임, C/O 제출 의무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준거법·중재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베트남법 우선, VIAC/SIAC/ICC, 영어·베트남어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불가항력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사유 구체적 열거·통지 5~7일·60일 이상 시 해지권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수출규제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미국 EAR, EU 이중용도 규정 준수 확인서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언어·해석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영어 마스터 권장, 중국어·일본어 단독 금지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선급금 보호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Refund Guarantee 또는 Standby L/C 필수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3자 책임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매도인≠제조사 시 연대책임 + 제조사 직접 보증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해외 기술자 파견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Work Permit·비자·보험·Man-day Cap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부품 통관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HS Code·임시수입(TNTX)·면세 가능 여부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원격 수리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VPN·접속로그·별도 NDA</w:t>
            </w:r>
          </w:p>
        </w:tc>
      </w:tr>
    </w:tbl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제31조 (수리·정비 특수 조항)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D 유형 및 H-3(연간 단가계약)은 다음 특수 조항을 추가한다.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조항명</w:t>
            </w:r>
          </w:p>
        </w:tc>
        <w:tc>
          <w:tcPr>
            <w:tcW w:type="dxa" w:w="6803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핵심 내용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 대상 특정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장비코드·모델·일련번호 명시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 범위(SOW)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전체 오버홀/부분수리 구분, 교체 부품 목록, 공정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수리완료 기준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시운전 합격 조건·성능 수치(예: 위치정밀도 ±0.01mm)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 보증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최소 6개월(오버홀 12개월), 동일부위 재고장 무상 재수리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단가계약 수량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연간 수량 ±20% 허용, 월간/분기 정산</w:t>
            </w:r>
          </w:p>
        </w:tc>
      </w:tr>
      <w:tr>
        <w:tc>
          <w:tcPr>
            <w:tcW w:type="dxa" w:w="255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긴급수리 대응</w:t>
            </w:r>
          </w:p>
        </w:tc>
        <w:tc>
          <w:tcPr>
            <w:tcW w:type="dxa" w:w="680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24~72시간 출동, 상주인력 요건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1F4E79"/>
          <w:sz w:val="32"/>
        </w:rPr>
        <w:t>제8장  다국어 운영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제32조 (언어 기본 원칙)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마스터 언어: 베트남어(법적 마스터). 베트남 현지 법인이 당사자이므로 법원·중재·관공서 제출 시 베트남어본이 기준이 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참조 언어: 한국어(한국 본사·한국인 관리자 검토용) + 영어(해외 상대방 기본).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국내 거래: 베트남어본 단일 또는 베트남어·영어 병기.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④ 해외 거래: 영어 단일(기본) 또는 베트남어·영어 병기. 상대국 언어(중국어·일본어) 단독은 금지한다.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제33조 (해석 우선순위)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계약서 문언이 상이할 경우 계약서에 명시된 해석 우선 언어에 따른다.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해석 우선 언어 미명시 시: 베트남 국내 거래는 베트남어본, 해외 거래는 영어본이 우선한다.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한국어본은 참조용으로 명시하며 법적 효력이 없음을 조항화한다.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제34조 (번역본 관리)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공식 번역은 베트남 공인번역(Dịch thuật công chứng)을 이용한다.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회사 내부 번역본은 "참조용(Reference Only)" 워터마크를 표기한다.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법인장 서명 전 주요 조항(대금·지체상금·해지·분쟁해결)은 한국어 요약본을 별도 작성하여 결재에 첨부한다.</w:t>
      </w:r>
    </w:p>
    <w:p>
      <w:r>
        <w:br w:type="page"/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1F4E79"/>
          <w:sz w:val="32"/>
        </w:rPr>
        <w:t>제9장  문서 관리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제35조 (계약번호 체계)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계약번호는 다음 규칙으로 부여한다.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형식: [유형코드]-[연도]-[월]-[일련번호]</w:t>
      </w:r>
    </w:p>
    <w:p>
      <w:pPr>
        <w:spacing w:after="40"/>
        <w:ind w:left="283"/>
      </w:pPr>
      <w:r>
        <w:rPr>
          <w:rFonts w:ascii="Malgun Gothic" w:hAnsi="Malgun Gothic" w:eastAsia="Malgun Gothic"/>
          <w:b w:val="0"/>
          <w:sz w:val="21"/>
        </w:rPr>
        <w:t>예시: C-2-2026-04-0012 (2026년 4월 12번째로 체결한 해외 장비설비 계약)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유형코드: A-1, A-2, B-1, B-2, C-1, C-2, D-1, D-2, E-1, F-1, H-1, H-3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제36조 (보관 및 접근 권한)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원본 계약서는 총무팀 금고에 5년 이상 보관한다.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스캔본은 회사 문서관리시스템(DMS)에 업로드하여 구매·법무·재경 3개 부서만 열람 가능하도록 권한을 설정한다.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계약관리대장(Contract Register)은 구매팀이 운영하며 월 1회 법인장 보고한다.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제37조 (연간 검토 및 개정)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① 매년 1/4분기 말(3월 31일 기준)에 전 표준계약서·본 절차서를 재검토한다.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② 베트남 법령 개정, 주요 분쟁 경험, 본사 지침 변경 시 수시 개정한다.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③ 개정 이력은 본 절차서 말미의 변경이력표에 기록한다.</w:t>
      </w:r>
    </w:p>
    <w:p>
      <w:r>
        <w:br w:type="page"/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1F4E79"/>
          <w:sz w:val="32"/>
        </w:rPr>
        <w:t>제10장  부속서식 및 표준계약서 목록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제38조 (표준계약서 목록)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본 절차서와 함께 운영되는 표준계약서 일람은 다음과 같으며, 파일 위치는 05_법무계약/표준계약서/ 경로이다.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850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코드</w:t>
            </w:r>
          </w:p>
        </w:tc>
        <w:tc>
          <w:tcPr>
            <w:tcW w:type="dxa" w:w="2835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유형명</w:t>
            </w:r>
          </w:p>
        </w:tc>
        <w:tc>
          <w:tcPr>
            <w:tcW w:type="dxa" w:w="5669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파일명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A-1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정기구매 국내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A-1_정기구매_국내_표준계약서.docx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A-2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정기구매 해외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A-2_정기구매_해외_표준계약서.docx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B-1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일회성구매 국내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B-1_일회성구매_국내_표준계약서.docx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B-2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일회성구매 해외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B-2_일회성구매_해외_표준계약서.docx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C-1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장비설비구매 국내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C-1_장비설비구매_국내_표준계약서.docx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C-2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장비설비구매 해외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C-2_장비설비구매_해외_표준계약서.docx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D-1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수리정비 국내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D-1_수리정비_국내_표준계약서.docx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D-2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수리정비 해외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D-2_수리정비_해외_표준계약서.docx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E-1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설비임대 국내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 w:cs="Malgun Gothic"/>
              </w:rPr>
              <w:t>E-1_설비임대_국내_표준계약서.docx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F-1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외주가공 국내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 w:cs="Malgun Gothic"/>
              </w:rPr>
              <w:t>F-1_외주가공_국내_표준계약서.docx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H-1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비밀유지(NDA)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 w:cs="Malgun Gothic"/>
              </w:rPr>
              <w:t>H-1_NDA_표준계약서.docx</w:t>
            </w:r>
          </w:p>
        </w:tc>
      </w:tr>
      <w:tr>
        <w:tc>
          <w:tcPr>
            <w:tcW w:type="dxa" w:w="850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H-3</w:t>
            </w:r>
          </w:p>
        </w:tc>
        <w:tc>
          <w:tcPr>
            <w:tcW w:type="dxa" w:w="28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연간 단가계약</w:t>
            </w:r>
          </w:p>
        </w:tc>
        <w:tc>
          <w:tcPr>
            <w:tcW w:type="dxa" w:w="5669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 w:cs="Malgun Gothic"/>
              </w:rPr>
              <w:t>H-3_연간단가계약_표준계약서.docx</w:t>
            </w:r>
          </w:p>
        </w:tc>
      </w:tr>
    </w:tbl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제39조 (관리대장·품의서·검수확인서 양식)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서식번호</w:t>
            </w:r>
          </w:p>
        </w:tc>
        <w:tc>
          <w:tcPr>
            <w:tcW w:type="dxa" w:w="3402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명칭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사용 시점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별지 제1호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계약관리대장 (Contract Register)</w:t>
            </w:r>
          </w:p>
        </w:tc>
        <w:tc>
          <w:tcPr>
            <w:tcW w:type="dxa" w:w="45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구매팀 운영, 월 1회 보고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별지 제2호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계약 품의서 (Request for Approval)</w:t>
            </w:r>
          </w:p>
        </w:tc>
        <w:tc>
          <w:tcPr>
            <w:tcW w:type="dxa" w:w="45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담당자 기안, 결재권자 승인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별지 제3호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리스크 심의서 (Risk Review)</w:t>
            </w:r>
          </w:p>
        </w:tc>
        <w:tc>
          <w:tcPr>
            <w:tcW w:type="dxa" w:w="45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법무/지정담당 작성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별지 제4호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단일공급자 사유서 (Sole Source Justification)</w:t>
            </w:r>
          </w:p>
        </w:tc>
        <w:tc>
          <w:tcPr>
            <w:tcW w:type="dxa" w:w="45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1업체 견적 시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별지 제5호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검수확인서 (Acceptance Certificate)</w:t>
            </w:r>
          </w:p>
        </w:tc>
        <w:tc>
          <w:tcPr>
            <w:tcW w:type="dxa" w:w="45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요청·품질·기술 합동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별지 제6호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변경합의서 (Change Order)</w:t>
            </w:r>
          </w:p>
        </w:tc>
        <w:tc>
          <w:tcPr>
            <w:tcW w:type="dxa" w:w="45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SOW·금액·일정 변경 시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별지 제7호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계약종결 보고서 (Closure Report)</w:t>
            </w:r>
          </w:p>
        </w:tc>
        <w:tc>
          <w:tcPr>
            <w:tcW w:type="dxa" w:w="45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이행 완료 후 작성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별지 제8호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이행보증서/환불보증서 견본</w:t>
            </w:r>
          </w:p>
        </w:tc>
        <w:tc>
          <w:tcPr>
            <w:tcW w:type="dxa" w:w="45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은행 발행 양식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1F4E79"/>
          <w:sz w:val="32"/>
        </w:rPr>
        <w:t>부록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부록 1.  계약 유형 분류 Matrix (요약)</w:t>
      </w:r>
    </w:p>
    <w:p>
      <w:pPr>
        <w:spacing w:after="40"/>
      </w:pPr>
      <w:r>
        <w:rPr>
          <w:rFonts w:ascii="Malgun Gothic" w:hAnsi="Malgun Gothic" w:eastAsia="Malgun Gothic" w:cs="Malgun Gothic"/>
          <w:b w:val="0"/>
          <w:sz w:val="21"/>
        </w:rPr>
        <w:t>상세 Matrix 및 결제조건은 별첨 "계약유형_분류_Matrix_수정본_v3.xlsx" (v4.0 수정본, E-1·F-1·H-1·H-3 유형 추가) 참조.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부록 2.  결재권한표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최종 결재</w:t>
            </w:r>
          </w:p>
        </w:tc>
        <w:tc>
          <w:tcPr>
            <w:tcW w:type="dxa" w:w="3402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필수 문서</w:t>
            </w:r>
          </w:p>
        </w:tc>
        <w:tc>
          <w:tcPr>
            <w:tcW w:type="dxa" w:w="2268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비고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소액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부서장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품의서·PO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간이계약 또는 표준계약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중액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법인장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품의서+표준계약+보증서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리스크심의 필수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대액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법인장 + 본사 사전보고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품의서+표준계약+보증서+리스크심의서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HIGH 등급 별도 보고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NDA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법인장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NDA+리스크 체크</w:t>
            </w:r>
          </w:p>
        </w:tc>
        <w:tc>
          <w:tcPr>
            <w:tcW w:type="dxa" w:w="226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법무 정식 검토</w:t>
            </w:r>
          </w:p>
        </w:tc>
      </w:tr>
    </w:tbl>
    <w:p>
      <w:pPr>
        <w:spacing w:before="240" w:after="80"/>
      </w:pPr>
      <w:r>
        <w:rPr>
          <w:rFonts w:ascii="Malgun Gothic" w:hAnsi="Malgun Gothic" w:eastAsia="Malgun Gothic" w:cs="Malgun Gothic"/>
          <w:b/>
          <w:color w:val="2E74B5"/>
          <w:sz w:val="26"/>
        </w:rPr>
        <w:t>부록 3.  갑 불리 체크포인트 16선 (요약)</w:t>
      </w:r>
    </w:p>
    <w:p>
      <w:pPr>
        <w:spacing w:after="40"/>
      </w:pPr>
      <w:r>
        <w:rPr>
          <w:rFonts w:ascii="Malgun Gothic" w:hAnsi="Malgun Gothic" w:eastAsia="Malgun Gothic"/>
          <w:b w:val="0"/>
          <w:sz w:val="21"/>
        </w:rPr>
        <w:t>본문 제23조 표 참조. 법무 검토 시 해당 표에 서명·날인하여 리스크심의서에 첨부한다.</w:t>
      </w:r>
    </w:p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부록 4.  베트남 법령 참조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402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법령명(한국어)</w:t>
            </w:r>
          </w:p>
        </w:tc>
        <w:tc>
          <w:tcPr>
            <w:tcW w:type="dxa" w:w="5953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원어(베트남어/영어)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베트남 민법 2015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Bộ luật Dân sự 2015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베트남 상법 2005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Luật Thương mại 2005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VAT법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Luật Thuế GTGT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베트남 중재법 2010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Luật Trọng tài Thương mại 2010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외환관리법령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Pháp lệnh Ngoại hối 2005 (개정 2013)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투자법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Luật Đầu tư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관세법 2014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Luật Hải quan 2014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기업법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Luật Doanh nghiệp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산업안전위생법 2015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Luật An toàn, vệ sinh lao động 2015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환경보호법 2020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Luật Bảo vệ môi trường 2020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개인정보보호 시행령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Nghị định 13/2023/NĐ-CP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전자세금계산서 시행령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Nghị định 123/2020/NĐ-CP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외국인 근로허가 시행령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Nghị định 152/2020/NĐ-CP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사이버보안법 2018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Luật An ninh mạng 2018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지식재산법 2005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Luật Sở hữu trí tuệ 2005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소비자보호법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Luật Bảo vệ quyền lợi người tiêu dùng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CISG (UN 국제물품매매협약)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United Nations Convention on Contracts for the International Sale of Goods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Incoterms 2020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ICC Incoterms 2020</w:t>
            </w:r>
          </w:p>
        </w:tc>
      </w:tr>
      <w:tr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UCP 600</w:t>
            </w:r>
          </w:p>
        </w:tc>
        <w:tc>
          <w:tcPr>
            <w:tcW w:type="dxa" w:w="5953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Uniform Customs and Practice for Documentary Credits (2007 Revision)</w:t>
            </w:r>
          </w:p>
        </w:tc>
      </w:tr>
    </w:tbl>
    <w:p>
      <w:pPr>
        <w:spacing w:before="240" w:after="80"/>
      </w:pPr>
      <w:r>
        <w:rPr>
          <w:rFonts w:ascii="Malgun Gothic" w:hAnsi="Malgun Gothic" w:eastAsia="Malgun Gothic"/>
          <w:b/>
          <w:color w:val="2E74B5"/>
          <w:sz w:val="26"/>
        </w:rPr>
        <w:t>부록 5.  용어집 (한국어 / 베트남어 / 영어)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118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한국어</w:t>
            </w:r>
          </w:p>
        </w:tc>
        <w:tc>
          <w:tcPr>
            <w:tcW w:type="dxa" w:w="3118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Tiếng Việt</w:t>
            </w:r>
          </w:p>
        </w:tc>
        <w:tc>
          <w:tcPr>
            <w:tcW w:type="dxa" w:w="3118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English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매수인/갑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Bên A / Bên Mua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Buyer / Party A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매도인/을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Bên B / Bên Bán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Seller / Party B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발주서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Đơn đặt hàng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Purchase Order (PO)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납품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Giao hàng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Delivery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검수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Nghiệm thu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Acceptance / Inspection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선급금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Tạm ứng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Advance Payment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중도금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Thanh toán giữa kỳ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Interim Payment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잔금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Thanh toán cuối cùng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Final Payment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세금계산서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Hóa đơn GTGT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VAT Invoice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이행보증서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Bảo lãnh thực hiện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Performance Bond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환불보증서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Bảo lãnh hoàn trả tạm ứng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Refund Guarantee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지체상금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Phạt chậm giao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Liquidated Damages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위약금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Phạt vi phạm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Penalty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손해배상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Bồi thường thiệt hại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Compensation for Damages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불가항력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Bất khả kháng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Force Majeure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치유기간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Thời gian khắc phục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Cure Period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중재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Trọng tài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Arbitration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관할법원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Tòa án có thẩm quyền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Jurisdiction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준거법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Luật điều chỉnh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Governing Law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기밀유지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Bảo mật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Confidentiality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지식재산권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Quyền sở hữu trí tuệ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Intellectual Property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자동갱신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Gia hạn tự động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Automatic Renewal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수리 범위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Phạm vi sửa chữa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Scope of Repair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시운전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Chạy thử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Commissioning</w:t>
            </w:r>
          </w:p>
        </w:tc>
      </w:tr>
      <w:tr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보증기간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Thời gian bảo hành</w:t>
            </w:r>
          </w:p>
        </w:tc>
        <w:tc>
          <w:tcPr>
            <w:tcW w:type="dxa" w:w="3118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Warranty Period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Malgun Gothic" w:hAnsi="Malgun Gothic" w:eastAsia="Malgun Gothic"/>
          <w:b/>
          <w:color w:val="1F4E79"/>
          <w:sz w:val="32"/>
        </w:rPr>
        <w:t>변경이력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134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버전</w:t>
            </w:r>
          </w:p>
        </w:tc>
        <w:tc>
          <w:tcPr>
            <w:tcW w:type="dxa" w:w="1701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일자</w:t>
            </w:r>
          </w:p>
        </w:tc>
        <w:tc>
          <w:tcPr>
            <w:tcW w:type="dxa" w:w="5102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변경내용</w:t>
            </w:r>
          </w:p>
        </w:tc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작성자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V1.0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2026-04-24</w:t>
            </w:r>
          </w:p>
        </w:tc>
        <w:tc>
          <w:tcPr>
            <w:tcW w:type="dxa" w:w="51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최초 제정 — 계약관리 운영 절차서 신규 작성, 표준계약서 A~H 체계 정립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구매·법무팀</w:t>
            </w:r>
          </w:p>
        </w:tc>
      </w:tr>
      <w:tr>
        <w:tc>
          <w:tcPr>
            <w:tcW w:type="dxa" w:w="1134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 w:cs="Malgun Gothic"/>
              </w:rPr>
              <w:t>V1.1</w:t>
            </w:r>
          </w:p>
        </w:tc>
        <w:tc>
          <w:tcPr>
            <w:tcW w:type="dxa" w:w="1701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 w:cs="Malgun Gothic"/>
              </w:rPr>
              <w:t>2026-05-07</w:t>
            </w:r>
          </w:p>
        </w:tc>
        <w:tc>
          <w:tcPr>
            <w:tcW w:type="dxa" w:w="51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 w:cs="Malgun Gothic"/>
              </w:rPr>
              <w:t>표준계약서 폴더 위치 변경(기존계약서검토→05_법무계약 직속), E-1·F-1·H-1·H-3 신규 유형 반영, 위험항목 13~16 추가, 갑 불리 체크포인트 16선으로 확대</w:t>
            </w:r>
          </w:p>
        </w:tc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</w:r>
            <w:r>
              <w:rPr>
                <w:rFonts w:ascii="Malgun Gothic" w:hAnsi="Malgun Gothic" w:eastAsia="Malgun Gothic" w:cs="Malgun Gothic"/>
              </w:rPr>
              <w:t>구매·법무팀</w:t>
            </w:r>
          </w:p>
        </w:tc>
      </w:tr>
    </w:tbl>
    <w:p>
      <w:pPr>
        <w:spacing w:before="800"/>
      </w:pPr>
      <w:r>
        <w:rPr>
          <w:rFonts w:ascii="Malgun Gothic" w:hAnsi="Malgun Gothic" w:eastAsia="Malgun Gothic"/>
          <w:b/>
          <w:color w:val="1F4E79"/>
          <w:sz w:val="28"/>
        </w:rPr>
        <w:t>제정 및 승인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417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구분</w:t>
            </w:r>
          </w:p>
        </w:tc>
        <w:tc>
          <w:tcPr>
            <w:tcW w:type="dxa" w:w="3402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직위</w:t>
            </w:r>
          </w:p>
        </w:tc>
        <w:tc>
          <w:tcPr>
            <w:tcW w:type="dxa" w:w="4535"/>
            <w:shd w:fill="1F4E79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20"/>
              </w:rPr>
              <w:t>서명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작성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구매팀장 / 법무 담당</w:t>
            </w:r>
          </w:p>
        </w:tc>
        <w:tc>
          <w:tcPr>
            <w:tcW w:type="dxa" w:w="45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 xml:space="preserve">                           (서명)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검토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부총경리</w:t>
            </w:r>
          </w:p>
        </w:tc>
        <w:tc>
          <w:tcPr>
            <w:tcW w:type="dxa" w:w="45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 xml:space="preserve">                           (서명)</w:t>
            </w:r>
          </w:p>
        </w:tc>
      </w:tr>
      <w:tr>
        <w:tc>
          <w:tcPr>
            <w:tcW w:type="dxa" w:w="1417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승인</w:t>
            </w:r>
          </w:p>
        </w:tc>
        <w:tc>
          <w:tcPr>
            <w:tcW w:type="dxa" w:w="3402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>법인장 CHOI BYOUNG YOUN</w:t>
            </w:r>
          </w:p>
        </w:tc>
        <w:tc>
          <w:tcPr>
            <w:tcW w:type="dxa" w:w="4535"/>
          </w:tcPr>
          <w:p>
            <w:r>
              <w:rPr>
                <w:rFonts w:ascii="Malgun Gothic" w:hAnsi="Malgun Gothic" w:eastAsia="Malgun Gothic"/>
                <w:b w:val="0"/>
                <w:sz w:val="19"/>
              </w:rPr>
              <w:t xml:space="preserve">                           (서명·인감)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