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리스크 분석 보고서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RISK ANALYSIS REPORT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대상 계약서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Hợp đồng sửa chữa (Framework Agreement)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계약번호: 013/2025/HDDV/TWIN-M&amp;C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발주자: M&amp;C Electronics Vina Co., Ltd (Party A)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분석일: 2026년 3월 28일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요약 (Executive Summary)</w:t>
      </w:r>
    </w:p>
    <w:p>
      <w:pPr>
        <w:spacing w:after="200" w:line="320"/>
      </w:pPr>
      <w:r>
        <w:rPr>
          <w:sz w:val="21"/>
          <w:szCs w:val="21"/>
        </w:rPr>
        <w:t xml:space="preserve">본 보고서는 M&amp;C Electronics Vina Co., Ltd(Party A)와 미지정 공급업체(Party B) 간의 산업용 장비 수리/부품 교체/판매 관련 기본계약서(Framework Agreement, 계약번호 013/2025/HDDV/TWIN-M&amp;C)에 대한 리스크 분석 결과입니다.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338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총 식별 리스크 수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14건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높음 (High Risk)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5건 — 계약 상대방 정보 미기재, 계약기간 미설정, 결제조건 불일치, 납기지연 제재 부재, 손해배상 상한액 미설정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중간 (Medium Risk)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8건 — 가격 모호성, 보증기간, 보증면책, 검수기간, 해지통보, 기밀유지, 안전보험, 언어우선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낮음 (Low Risk)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1건 — 분쟁해결 방법(법원 vs 중재)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2. 상세 리스크 분석</w:t>
      </w:r>
    </w:p>
    <w:p>
      <w:pPr>
        <w:pStyle w:val="Heading2"/>
      </w:pPr>
      <w:r>
        <w:t xml:space="preserve">R-01: 계약 상대방(Party B) 정보 미기재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계약 구조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을 B의 회사명, 주소, 세금코드, 은행계좌, 대표자 등 핵심 정보가 모두 공란으로 남아 있음. 계약 상대방 특정이 불가능하여 분쟁 발생 시 법적 집행이 극히 어려움.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계약 체결 전 반드시 모든 항목을 완전히 기재할 것. 사업자등록증 사본 체출 확인 필요.</w:t>
      </w:r>
    </w:p>
    <w:p>
      <w:pPr>
        <w:pStyle w:val="Heading2"/>
      </w:pPr>
      <w:r>
        <w:t xml:space="preserve">R-02: 계약 기간/만료일 미설정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계약 구조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제8조에서 '서명일부터 효력 발생'이라고만 되어 있으며 종료일이 명시되지 않음. 자동갱신 여부도 불명확. 무기한 계약으로 해석될 위험이 있음.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계약 기간(1년 등)을 명시하고 자동갱신 조건 및 해지 통보 기간을 명확히 규정할 것.</w:t>
      </w:r>
    </w:p>
    <w:p>
      <w:pPr>
        <w:pStyle w:val="Heading2"/>
      </w:pPr>
      <w:r>
        <w:t xml:space="preserve">R-03: 가격 결정 방식의 모호성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가격/결제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가격이 개별 발주서(PO)와 견적에 따라 결정되며, 기본 단가표나 가격 상한선이 없음. 공급업체가 일방적으로 가격을 인상할 수 있는 구조.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기본 단가표 부록, 연간 가격 인상률 상한선 설정, 단가 변경 시 사전 협의 조항 추가 필요.</w:t>
      </w:r>
    </w:p>
    <w:p>
      <w:pPr>
        <w:pStyle w:val="Heading2"/>
      </w:pPr>
      <w:r>
        <w:t xml:space="preserve">R-04: 결제조건 베/영 번역 불일치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가격/결제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베트남어본: '공댄 확정일 + 서류 수령일부터 60일'. 영어본: '송장 발행일부터 60일, 송장 발행 즉시'. 결제 기산일이 완전히 다르며, 영어본은 자체 모순적.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베/영 번역을 일치시키고 결제 기산일을 명확히 할 것. 우선 적용 언어 조항 추가 필요.</w:t>
      </w:r>
    </w:p>
    <w:p>
      <w:pPr>
        <w:pStyle w:val="Heading2"/>
      </w:pPr>
      <w:r>
        <w:t xml:space="preserve">R-05: 납기 지연 시 제재 조항 부재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납기/이행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제2조에서 납기 지연 시 Party B가 2-3일 내 서면/이메일 통보만 하면 됨. 지연 에 대한 위약금, 손해배상 등 구체적 제재 조항이 없음.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납기 지연 시 일일 위약금(예: 해당 PO 금액의 0.1%/일) 및 최대 지연기간 조항 추가 필요.</w:t>
      </w:r>
    </w:p>
    <w:p>
      <w:pPr>
        <w:pStyle w:val="Heading2"/>
      </w:pPr>
      <w:r>
        <w:t xml:space="preserve">R-06: 부품 보증기간 6개월로 짧음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보증/품질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제6.2조에서 신품 부품 교체 보증이 6개월로, 산업용 장비 기준 다소 짧을 수 있음. 특히 고가 부품의 경우 위험 부담이 큼.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부품 종류별 보증기간 차등화 검토 (예: 주요 부품 12개월, 소모품 6개월). 제조사 보증 연계 조항 추가.</w:t>
      </w:r>
    </w:p>
    <w:p>
      <w:pPr>
        <w:pStyle w:val="Heading2"/>
      </w:pPr>
      <w:r>
        <w:t xml:space="preserve">R-07: 보증 면책 조항의 광범위함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보증/품질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제6.2조 보증 면책 사유에 '운전 부적절' 및 '운영 조건 미충족'이 포함되어 있으나 구체적 판단 기준이 없음. 공급업체가 자의적으로 면책 주장 가능.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보증 면책 판단 기준을 구체적으로 명시하고, 분쟁 시 독립적 기술 감정 절차 도입 검토.</w:t>
      </w:r>
    </w:p>
    <w:p>
      <w:pPr>
        <w:pStyle w:val="Heading2"/>
      </w:pPr>
      <w:r>
        <w:t xml:space="preserve">R-08: 검수 기간(15일) 자동 인정 조항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보증/품질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제6.1조에서 15 영업일 내 이의 제기하지 않으면 자동 검수 완료로 간주. 복잡한 설비의 경우 15일은 충분한 테스트 기간이 아닐 수 있음.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장비 유형별 검수 기간을 다르게 설정하거나, 최소 30일로 연장 검토. 자동 인정 조건 완화 필요.</w:t>
      </w:r>
    </w:p>
    <w:p>
      <w:pPr>
        <w:pStyle w:val="Heading2"/>
      </w:pPr>
      <w:r>
        <w:t xml:space="preserve">R-09: 손해배상 상한액 미설정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손해배상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높음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제9조에서 위반 시 '전체 손해 및 직접 손실 배상'으로 되어 있으나 상한액이 없음. 양쪽 모두에게 무제한 위험 노출.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손해배상 상한액을 계약 금액 또는 해당 PO 금액의 일정 배수로 제한할 것.</w:t>
      </w:r>
    </w:p>
    <w:p>
      <w:pPr>
        <w:pStyle w:val="Heading2"/>
      </w:pPr>
      <w:r>
        <w:t xml:space="preserve">R-10: 일방적 해지 통보기간 5일로 과도하게 짧음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해지/분쟁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제9조에서 일방적 해지 시 5일 전 통보로 되어 있으나, 진행 중인 수리 작업이 있을 경우 5일은 대체 업체 선정에 불충분한 기간.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해지 통보 기간을 최소 30일로 연장하고, 진행 중 작업의 완료 의무 조항 추가.</w:t>
      </w:r>
    </w:p>
    <w:p>
      <w:pPr>
        <w:pStyle w:val="Heading2"/>
      </w:pPr>
      <w:r>
        <w:t xml:space="preserve">R-11: 분쟁해결 방법: 법원 재판(중재 아님)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해지/분쟁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낮음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제7.2조에서 30일 협상 후 베트남 법원에 제소. 법원 재판은 시간이 오래 걸리고 판결의 예측가능성이 낮을 수 있음. 외국 기업에게 불리할 수 있음.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VIAC(베트남 국제중재센터) 중재 조항으로 변경 검토. 중재가 더 신속하고 국제적 집행력이 높음.</w:t>
      </w:r>
    </w:p>
    <w:p>
      <w:pPr>
        <w:pStyle w:val="Heading2"/>
      </w:pPr>
      <w:r>
        <w:t xml:space="preserve">R-12: 기밀유지 위반 시 제재 조항 부재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기밀유지/지적재산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제5.2조에서 Party B의 기밀유지 의무가 언급되나, 위반 시 구체적 제재(위약금 등)가 명시되지 않음. 별도 NDA도 언급되지 않음.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별도 NDA 체결 또는 계약 내 기밀유지 위약금 조항 추가 필요. 정보 범위 및 유지 기간도 명시할 것.</w:t>
      </w:r>
    </w:p>
    <w:p>
      <w:pPr>
        <w:pStyle w:val="Heading2"/>
      </w:pPr>
      <w:r>
        <w:t xml:space="preserve">R-13: 안전사고 책임 범위 모호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안전/보험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제5.2조에서 Party B가 인력 및 재산 안전에 대해 전적 책임을 지나, 구체적인 보험 가입 의무나 최소 보험금액이 명시되지 않음.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Party B의 산업재해보험, 배상책임보험 가입 의무화 조항 추가 필요.</w:t>
      </w:r>
    </w:p>
    <w:p>
      <w:pPr>
        <w:pStyle w:val="Heading2"/>
      </w:pPr>
      <w:r>
        <w:t xml:space="preserve">R-14: 베/영 이중언어 계약의 우선언어 미지정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언어/형식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위험도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 w:before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설명: </w:t>
      </w:r>
      <w:r>
        <w:rPr>
          <w:rFonts w:ascii="Arial" w:cs="Arial" w:eastAsia="Arial" w:hAnsi="Arial"/>
          <w:sz w:val="21"/>
          <w:szCs w:val="21"/>
        </w:rPr>
        <w:t xml:space="preserve">계약서가 베트남어와 영어로 작성되었으나 해석 불일치 시 어느 언어가 우선하는지 명시되지 않음. 실제로 제4조 결제조건에서 이미 불일치가 발생.</w:t>
      </w:r>
    </w:p>
    <w:p>
      <w:pPr>
        <w:spacing w:after="240" w:line="32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권고사항: </w:t>
      </w:r>
      <w:r>
        <w:rPr>
          <w:rFonts w:ascii="Arial" w:cs="Arial" w:eastAsia="Arial" w:hAnsi="Arial"/>
          <w:sz w:val="21"/>
          <w:szCs w:val="21"/>
        </w:rPr>
        <w:t xml:space="preserve">우선 적용 언어(베트남어 또는 영어) 조항을 명시적으로 추가할 것.</w:t>
      </w:r>
    </w:p>
    <w:p>
      <w:r>
        <w:br w:type="page"/>
      </w:r>
    </w:p>
    <w:p>
      <w:pPr>
        <w:pStyle w:val="Heading1"/>
      </w:pPr>
      <w:r>
        <w:t xml:space="preserve">3. 종합 평가 및 권고</w:t>
      </w:r>
    </w:p>
    <w:p>
      <w:pPr>
        <w:spacing w:after="200" w:line="320"/>
      </w:pPr>
      <w:r>
        <w:rPr>
          <w:rFonts w:ascii="Arial" w:cs="Arial" w:eastAsia="Arial" w:hAnsi="Arial"/>
          <w:sz w:val="21"/>
          <w:szCs w:val="21"/>
        </w:rPr>
        <w:t xml:space="preserve">본 계약서는 베트남 산업용 장비 수리 서비스에 대한 기본계약(Framework Agreement)으로, 전반적으로 공급업체(Party B)에게 유리한 구조입니다. 특히 아래 5가지 고위험 항목은 계약 체결 전 반드시 수정이 필요합니다.</w:t>
      </w:r>
    </w:p>
    <w:p>
      <w:pPr>
        <w:spacing w:after="100" w:line="3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최우선 수정 필요 항목 (High Priority):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Party B 정보 완전 기재 후 서명할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계약 기간 및 만료일을 명시적으로 설정할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베트남어/영어 번역 불일치 수정 (특히 제4조 결제조건)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납기지연 시 위약금 조항 추가할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손해배상 상한액을 설정할 것</w:t>
      </w:r>
    </w:p>
    <w:p>
      <w:pPr>
        <w:spacing w:before="200"/>
      </w:pPr>
    </w:p>
    <w:p>
      <w:pPr>
        <w:spacing w:after="100" w:line="3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추가 개선 권고 항목 (Medium Priority):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기본 단가표 부록 및 가격 인상 상한선 설정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보증기간 연장 및 보증면책 기준 구체화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검수기간 30일로 연장 검토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해지 통보기간 30일로 연장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별도 NDA 체결 또는 기밀유지 위약금 조항 추가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Party B 산업재해보험/배상책임보험 가입 의무화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1"/>
          <w:szCs w:val="21"/>
        </w:rPr>
        <w:t xml:space="preserve">우선 적용 언어 조항 추가</w:t>
      </w:r>
    </w:p>
    <w:p>
      <w:pPr>
        <w:spacing w:before="400"/>
      </w:pPr>
    </w:p>
    <w:p>
      <w:pPr>
        <w:pBdr>
          <w:top w:val="single" w:color="CCCCCC" w:sz="2" w:space="8"/>
        </w:pBdr>
        <w:spacing w:after="200" w:line="3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본 보고서는 계약서의 리스크 요소를 분석한 것으로, 법률 자문을 대체하지 않습니다. 실제 계약 체결 전 베트남 현지 법률 전문가의 검토를 권고드립니다.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수리계약서 리스크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2026-03-28T01:32:49.472Z</dcterms:created>
  <dcterms:modified xsi:type="dcterms:W3CDTF">2026-03-28T01:32:49.472Z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