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리스크 분석 보고서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RISK ANALYSIS REPORT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대상 계약서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Hợp Đồng Kinh Tế - 자동화 개선 계약서 (Sales Contract)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계약번호: 2603/M&amp;C-VICCO/2026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발주자: M&amp;C Electronics Vina Co., Ltd (Party A)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공급자: VICCO Joint Stock Company (Party B)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계약금액: 680,400,000 VND (VAT 8% 포함)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분석일: 2026년 3월 30일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요약 (Executive Summary)</w:t>
      </w:r>
    </w:p>
    <w:p>
      <w:pPr>
        <w:spacing w:after="200" w:line="320"/>
      </w:pPr>
      <w:r>
        <w:rPr>
          <w:sz w:val="21"/>
          <w:szCs w:val="21"/>
        </w:rPr>
        <w:t xml:space="preserve">본 보고서는 M&amp;C Electronics Vina Co., Ltd(Party A)와 VICCO Joint Stock Company(Party B) 간의 ACP Housing 공급 시스템 매매계약(Sales Contract, 계약번호 2603/M&amp;C-VICCO/2026, 계약금액 680,400,000 VND)에 대한 리스크 분석 결과입니다.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6338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총 식별 리스크 수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16건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높음 (High Risk)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6건 — 제품명 미기재, 번역 불일치(3건), 은행계좌 불일치, 선급금 위험, 미작성 조항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중간 (Medium Risk)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9건 — IP 모순, 납기 애매성, 보증면책, 소모품 범위, 계약만료, 이행보증, 해지통보, 언어우선, Party B 명칭오류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낮음 (Low Risk)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1건 — 분쟁해결 방법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2. 긍정적 평가 요소</w:t>
      </w:r>
    </w:p>
    <w:p>
      <w:pPr>
        <w:spacing w:after="100" w:line="320"/>
      </w:pPr>
      <w:r>
        <w:rPr>
          <w:sz w:val="21"/>
          <w:szCs w:val="21"/>
        </w:rPr>
        <w:t xml:space="preserve">본 계약서는 이전 수리계약서(기본계약) 대비 상당히 개선된 조항들이 있습니다: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7AE60"/>
          <w:sz w:val="21"/>
          <w:szCs w:val="21"/>
        </w:rPr>
        <w:t xml:space="preserve">Party A의 검수권이 상세하게 규정됨 (제4.1조: 거부, 수리/교체 요구, 가격 협상 등 3가지 옵션)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7AE60"/>
          <w:sz w:val="21"/>
          <w:szCs w:val="21"/>
        </w:rPr>
        <w:t xml:space="preserve">납기지연 시 10% 위약금 + 직간접 손해배상 조항 존재 (제4.2조)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7AE60"/>
          <w:sz w:val="21"/>
          <w:szCs w:val="21"/>
        </w:rPr>
        <w:t xml:space="preserve">지적재산권 보호 조항이 상세하게 규정됨 (제4.1조, 제4.2조)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7AE60"/>
          <w:sz w:val="21"/>
          <w:szCs w:val="21"/>
        </w:rPr>
        <w:t xml:space="preserve">기밀유지 의무가 상세하게 규정됨 (제4.2조)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7AE60"/>
          <w:sz w:val="21"/>
          <w:szCs w:val="21"/>
        </w:rPr>
        <w:t xml:space="preserve">보증기간 12개월로 적정 (제5조)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7AE60"/>
          <w:sz w:val="21"/>
          <w:szCs w:val="21"/>
        </w:rPr>
        <w:t xml:space="preserve">애프터서비스 조항 존재: 24시간 전화, 24시간 내 이메일 응답 (제5조)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7AE60"/>
          <w:sz w:val="21"/>
          <w:szCs w:val="21"/>
        </w:rPr>
        <w:t xml:space="preserve">Party B의 IP 침해 면책(indemnification) 조항 포함 (제4.2조)</w:t>
      </w:r>
    </w:p>
    <w:p>
      <w:pPr>
        <w:spacing w:before="300"/>
      </w:pPr>
    </w:p>
    <w:p>
      <w:pPr>
        <w:pStyle w:val="Heading1"/>
      </w:pPr>
      <w:r>
        <w:t xml:space="preserve">3. 상세 리스크 분석</w:t>
      </w:r>
    </w:p>
    <w:p>
      <w:pPr>
        <w:pStyle w:val="Heading2"/>
      </w:pPr>
      <w:r>
        <w:t xml:space="preserve">R-01: 제품명/계약 대상 미기재 (공란 상태)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계약 구조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계약서 제목에 'V/v cung cấp Máy ……' (기계 공급 건), 제1조에도 '기계 ……'로 되어 있어 계약 대상 제품명이 특정되지 않음. 비록 Table에 'ACP housing 공급 시스템'이라고 기재되어 있으나, 계약서 본문과의 일관성이 부족함.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계약서 제목 및 제1조의 공란을 제품명으로 완전히 기재할 것. 기술 사양서를 별도 부록으로 첨부 권장.</w:t>
      </w:r>
    </w:p>
    <w:p>
      <w:pPr>
        <w:pStyle w:val="Heading2"/>
      </w:pPr>
      <w:r>
        <w:t xml:space="preserve">R-02: 납기지연 통보기간 베/영 심각한 불일치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번역 불일치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제4.2조 납기지연 조항에서 베트남어본은 '2주 전 통보, 3일 초과 시 해지'로 되어 있으나, 영어본은 '1개월 전 통보, 7일 초과 시 해지'로 되어 있음. 통보기간이 2주 vs 1개월, 해지 기준이 3일 vs 7일로 완전히 다름. 분쟁 시 핵심 쟁점이 될 수 있음.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베/영 번역을 일치시키고 통일된 기간을 명시할 것. 우선 적용 언어 조항 필수 추가.</w:t>
      </w:r>
    </w:p>
    <w:p>
      <w:pPr>
        <w:pStyle w:val="Heading2"/>
      </w:pPr>
      <w:r>
        <w:t xml:space="preserve">R-03: 결제조건 영어본 자체 모순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번역 불일치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제3.3조 2차 결제에서 영어본에 'within thirty (60) days'라고 기재되어 있어 30일과 60일이 모순됨. 베트남어본은 60일로 명확함. 결제기한을 둘러싼 해석 분쟁 가능성.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영어본을 'within sixty (60) days'로 수정하여 베트남어본과 일치시킬 것.</w:t>
      </w:r>
    </w:p>
    <w:p>
      <w:pPr>
        <w:pStyle w:val="Heading2"/>
      </w:pPr>
      <w:r>
        <w:t xml:space="preserve">R-04: Party B 명칭 오류 (영어본)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번역 불일치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영어본에서 Party B를 'The Processer'(오타)로 표기. 정확한 표현은 'The Seller' 또는 'The Supplier'이어야 함. 사소한 문제이나 법적 해석에 혼동을 줄 수 있음.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'The Processer'를 'The Seller' 또는 'The Supplier'로 수정할 것.</w:t>
      </w:r>
    </w:p>
    <w:p>
      <w:pPr>
        <w:pStyle w:val="Heading2"/>
      </w:pPr>
      <w:r>
        <w:t xml:space="preserve">R-05: 은행계좌번호 베/영 불일치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재무/결제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Party B의 Vietcombank 계좌번호가 베트남어본은 '045100043936'으로, 영어본은 '0451000434936'으로 다름. MB Bank 계좌도 베트남어본 '8311100516009' vs 영어본 '831100516009'로 다름. 오송금 위험.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Party B에게 정확한 계좌번호를 확인받아 베/영 모두 일치시킬 것. 첫 결제 시 소액 테스트 송금 권장.</w:t>
      </w:r>
    </w:p>
    <w:p>
      <w:pPr>
        <w:pStyle w:val="Heading2"/>
      </w:pPr>
      <w:r>
        <w:t xml:space="preserve">R-06: 50% 선급금 위험 (340,200,000 VND)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재무/결제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제3.3조에서 계약 체결 1주 내 50%를 선급금으로 지급해야 함. 이행보증서, 선급금 보증 등 별도 담보 조항이 없어, 납품 불이행 시 선급금 회수가 어려울 수 있음. 실제로 제4.2조에서 환불 조항이 있으나, 강제 집행력이 부족함.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선급금보증서(Advance Payment Bond) 또는 이행보증서(Bank Guarantee) 제출을 의무화할 것.</w:t>
      </w:r>
    </w:p>
    <w:p>
      <w:pPr>
        <w:pStyle w:val="Heading2"/>
      </w:pPr>
      <w:r>
        <w:t xml:space="preserve">R-07: 미작성 조항 다수 존재 (Placeholder 텍스트)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계약 구조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제4.2조에 '[specific timeframe]', '[number of days]' 등 미작성 placeholder 텍스트가 그대로 남아 있음. 불가항력 통보 기한, 유예기간 등 핵심 조건이 결정되지 않은 상태.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모든 placeholder를 구체적인 숫자로 채울 것. 예: 불가항력 통보 7일, 유예기간 10일 등.</w:t>
      </w:r>
    </w:p>
    <w:p>
      <w:pPr>
        <w:pStyle w:val="Heading2"/>
      </w:pPr>
      <w:r>
        <w:t xml:space="preserve">R-08: IP 소유권 조항의 내적 모순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지적재산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제4.1조에서 '모든 IP는 Party A의 독점 재산'이라고 하면서도, 동시에 'Party B 사전 서면 동의 없이 제3자에게 양도/재허락 불가'라고 명시. 소유권이 Party A에게 있다면 사용 제한이 모순됨. 또한 역설계/디컴파일 금지 조항도 소유권 이전과 논리적으로 충돌.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IP 조항을 정리하여: (1) Party A에게 이전되는 IP 범위, (2) Party B가 유지하는 배경 IP/라이선스 범위를 명확히 구분할 것.</w:t>
      </w:r>
    </w:p>
    <w:p>
      <w:pPr>
        <w:pStyle w:val="Heading2"/>
      </w:pPr>
      <w:r>
        <w:t xml:space="preserve">R-09: 납기 30-35일의 애매한 범위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납기/이행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제2조에서 납기가 '30-35일'로 되어 있어 정확한 기한이 불명확. 지연 위약금 및 해지권 발동의 기준일이 30일인지 35일인지 논란의 여지가 있음.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명확한 납품일을 확정하거나, 최대 납기를 35일로 명시하고 지연 기산일을 명확히 할 것.</w:t>
      </w:r>
    </w:p>
    <w:p>
      <w:pPr>
        <w:pStyle w:val="Heading2"/>
      </w:pPr>
      <w:r>
        <w:t xml:space="preserve">R-10: 보증면책 '운영 절차 비준수'의 모호성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보증/품질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제5조에서 '운영 절차를 따르지 않아 발생한 문제는 Party A 부담'으로 되어 있으나, 운영 절차의 구체적 범위나 판단 기준이 없음. Party B가 대부분의 문제를 운영 오류로 귀책할 수 있음.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Party B가 납품 시 상세한 운영 매뉴얼을 제공하도록 의무화하고, 보증 면책 판단은 독립 기술 감정으로 결정하는 조항 추가.</w:t>
      </w:r>
    </w:p>
    <w:p>
      <w:pPr>
        <w:pStyle w:val="Heading2"/>
      </w:pPr>
      <w:r>
        <w:t xml:space="preserve">R-11: 소모품 범위 미정의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보증/품질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제5조에서 '소모품(consumables)은 보증 제외'라고 되어 있으나, 어떤 부품이 소모품에 해당하는지 목록이 없음. Party B가 자의적으로 소모품 범위를 확대 해석할 수 있음.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소모품 목록을 계약서 부록으로 명시할 것.</w:t>
      </w:r>
    </w:p>
    <w:p>
      <w:pPr>
        <w:pStyle w:val="Heading2"/>
      </w:pPr>
      <w:r>
        <w:t xml:space="preserve">R-12: 계약 만료일/종료일 미설정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계약 구조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제7조에서 '서명일부터 효력 발생'만 있고 종료일이 없음. 제8조에서 의무 완료 시 종료라고 하나, 보증기간(12개월) 완료 후 애프터서비스 기간까지의 책임 범위가 모호.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계약 종료 조건을 명확히 하고, 보증 종료 후 애프터서비스 계약 조건도 명시할 것.</w:t>
      </w:r>
    </w:p>
    <w:p>
      <w:pPr>
        <w:pStyle w:val="Heading2"/>
      </w:pPr>
      <w:r>
        <w:t xml:space="preserve">R-13: 이행보증/이행보증서 조항 부재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안전/책임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납품 지연 시 위약금(10%) 및 환불 조항이 있으나, 이를 담보할 이행보증서나 보증보험 요구가 없음. Party B의 재정 상황이 악화되면 환불/배상 집행이 불가능할 수 있음.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이행보증서(Performance Bond)를 계약금액의 10-15% 수준으로 요구할 것.</w:t>
      </w:r>
    </w:p>
    <w:p>
      <w:pPr>
        <w:pStyle w:val="Heading2"/>
      </w:pPr>
      <w:r>
        <w:t xml:space="preserve">R-14: 일방적 해지 통보기간 5일로 짧음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해지/분쟁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제8조에서 위반 시 5일 전 통보로 해지 가능. 장비 제작/설치 중간에 해지되면 5일은 자동화 설비의 특성상 대체 업체 선정에 매우 부족한 기간.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해지 통보기간을 최소 30일로 연장하고, 진행 중 작업의 완료/원상복구 의무 조항 추가.</w:t>
      </w:r>
    </w:p>
    <w:p>
      <w:pPr>
        <w:pStyle w:val="Heading2"/>
      </w:pPr>
      <w:r>
        <w:t xml:space="preserve">R-15: 우선 적용 언어 미지정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언어/형식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계약서가 베트남어와 영어로 작성되었으나 해석 불일치 시 어느 언어가 우선하는지 명시되지 않음. 실제로 다수의 심각한 번역 불일치가 존재하여 이 조항이 특히 중요.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베트남 법률 적용 계약이므로 베트남어본 우선 적용 조항을 추가할 것을 권고.</w:t>
      </w:r>
    </w:p>
    <w:p>
      <w:pPr>
        <w:pStyle w:val="Heading2"/>
      </w:pPr>
      <w:r>
        <w:t xml:space="preserve">R-16: 분쟁해결: 법원 재판 (중재 아님)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해지/분쟁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낮음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제6.2조에서 30일 협상 후 베트남 법원에 제소. 법원 재판은 시간이 오래 걸리고, 외국 기업에게 불리할 수 있음. 다만 계약금액이 크지 않아 실무적 영향은 제한적.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VIAC 중재 조항으로 변경 검토. 다만 계약금액 대비 중재비용 고려 필요.</w:t>
      </w:r>
    </w:p>
    <w:p>
      <w:r>
        <w:br w:type="page"/>
      </w:r>
    </w:p>
    <w:p>
      <w:pPr>
        <w:pStyle w:val="Heading1"/>
      </w:pPr>
      <w:r>
        <w:t xml:space="preserve">4. 이전 수리계약서 대비 비교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3"/>
        <w:gridCol w:w="365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수리계약서 (013/2025)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자동화계약서 (2603/2026)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계약 유형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기본계약 (Framework)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개별 매매계약 (Sales)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계약금액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개별 PO별 결정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680,400,000 VND 확정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보증기간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6개월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12개월 (개선)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납기지연 제재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제재 조항 없음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 위약금 + 손해배상 (개선)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IP 보호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언급 없음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상세 조항 존재 (개선)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기밀유지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제재 없는 선언적 조항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상세 의무 및 책임 규정 (개선)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번역 품질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일부 불일치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다수 심각한 불일치 (악화)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5. 종합 평가 및 권고</w:t>
      </w:r>
    </w:p>
    <w:p>
      <w:pPr>
        <w:spacing w:after="200" w:line="320"/>
      </w:pPr>
      <w:r>
        <w:rPr>
          <w:rFonts w:ascii="Arial" w:cs="Arial" w:eastAsia="Arial" w:hAnsi="Arial"/>
          <w:sz w:val="21"/>
          <w:szCs w:val="21"/>
        </w:rPr>
        <w:t xml:space="preserve">본 계약서는 이전 수리계약서(Framework Agreement) 대비 IP 보호, 기밀유지, 납기지연 제재, 보증기간 등에서 상당한 개선이 이루어졌습니다. 다만, 아래 6가지 고위험 항목은 계약 체결 전 반드시 수정이 필요합니다.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최우선 수정 필요 항목 (High Priority):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계약서 제목 및 제1조의 제품명 공란을 완전히 기재할 것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베/영 번역 불일치 전면 수정 (특히 납기지연 통보기간: 2주 vs 1개월, 해지기준: 3일 vs 7일)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영어본 결제조건 'thirty (60) days' 모순 수정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Party B 은행계좌번호 베/영 불일치 확인 및 수정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선급금(50%) 대한 선급금보증서 또는 이행보증서 요구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Placeholder 텍스트([specific timeframe], [number of days]) 구체적 수치로 채울 것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추가 개선 권고 항목 (Medium Priority):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IP 소유권 조항 내적 모순 정리 (소유권 vs 사용권 범위 명확화)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납기 30-35일 범위를 확정하거나 지연 기산일 명시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보증면책 판단 기준 구체화 및 소모품 목록 명시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이행보증서(Performance Bond) 요구 검토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해지 통보기간 5일을 30일로 연장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우선 적용 언어 조항 추가 (베트남어 우선 권장)</w:t>
      </w:r>
    </w:p>
    <w:p>
      <w:pPr>
        <w:spacing w:before="400"/>
      </w:pPr>
    </w:p>
    <w:p>
      <w:pPr>
        <w:pBdr>
          <w:top w:val="single" w:color="CCCCCC" w:sz="2" w:space="8"/>
        </w:pBdr>
        <w:spacing w:after="200" w:line="3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본 보고서는 계약서의 리스크 요소를 분석한 것으로, 법률 자문을 대체하지 않습니다. 실제 계약 체결 전 베트남 현지 법률 전문가의 검토를 권고드립니다.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자동화개선계약서 리스크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2026-03-30T02:51:13.257Z</dcterms:created>
  <dcterms:modified xsi:type="dcterms:W3CDTF">2026-03-30T02:51:13.257Z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