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M&amp;C ELECTRONICS VINA CO., LTD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베트남 법인 구매팀</w:t>
      </w:r>
    </w:p>
    <w:p>
      <w:pPr>
        <w:pBdr>
          <w:bottom w:val="single" w:color="1F4E79" w:sz="6" w:space="1"/>
        </w:pBdr>
        <w:spacing w:before="60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계약서 양식 종합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법률 리스크 분석 및 수정안</w:t>
      </w:r>
    </w:p>
    <w:p>
      <w:pPr>
        <w:spacing w:before="15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보고일: 2026년 4월 6일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분석 대상: 계약서 양식 12개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분석 범위: 법률 리스크, 베트남 법률 준수, 국제거래 리스크, 매수인 보호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 (Table of Contents)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보고서 개요 (Executive Summary)</w:t>
      </w:r>
    </w:p>
    <w:p>
      <w:pPr>
        <w:pStyle w:val="Heading2"/>
      </w:pPr>
      <w:r>
        <w:rPr>
          <w:rFonts w:ascii="Arial" w:cs="Arial" w:eastAsia="Arial" w:hAnsi="Arial"/>
        </w:rPr>
        <w:t xml:space="preserve">1.1 분석 목적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보고서는 M&amp;C Electronics Vina Co., Ltd 베트남 법인 구매팀에서 사용 중인 12개 계약서 양식을 종합적으로 분석한 결과물입니다. 법률적 리스크, 베트남 현지 법률 준수 여부, 국제거래 리스크, 매수인(구매자) 보호 관점에서 전반적인 검토를 수행하였습니다.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분석 대상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2000"/>
        <w:gridCol w:w="20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파일형식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원칙계약서 (Principal Contract)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마스터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계약서 부록 (Appendix of Agreement)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부속문서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수리 서비스 계약서 (Service Contract for Repair)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교육 서비스 계약서 (Service Contract for Training)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서비스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비밀유지협약서 (Non-Disclosure Agreement)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보호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06a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가공 계약서 (Processing Contract Original)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제조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06b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가공 계약서 부록 (Annex of Processing Contract)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부속문서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금형 매매 계약서 (Mold Sales Contract 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 계약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매매 계약서 부록 (Annex of Sales Contract)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부속문서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XLSX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3자 화물 인수인계서 (3-Party Delivery Record)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화물 인수인계 추적 (Delivery Tracking)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운영문서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계약서 부록 (Contract Appendix)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부속문서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주요 발견 요약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분석 결과, 총 28건의 법률적 리스크 및 불합리 조항이 식별되었습니다. 이 중 고위험(HIGH) 8건, 중위험(MEDIUM) 12건, 저위험(LOW) 8건으로 분류되며, 즉시 수정이 필요한 사항이 다수 포함되어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5"/>
        <w:gridCol w:w="2006"/>
        <w:gridCol w:w="2006"/>
      </w:tblGrid>
      <w:tr>
        <w:tc>
          <w:tcPr>
            <w:tcW w:type="dxa" w:w="300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분석 영역</w:t>
            </w:r>
          </w:p>
        </w:tc>
        <w:tc>
          <w:tcPr>
            <w:tcW w:type="dxa" w:w="200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베트남 법률 준수</w:t>
            </w:r>
          </w:p>
        </w:tc>
        <w:tc>
          <w:tcPr>
            <w:tcW w:type="dxa" w:w="20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국제거래 리스크</w:t>
            </w:r>
          </w:p>
        </w:tc>
        <w:tc>
          <w:tcPr>
            <w:tcW w:type="dxa" w:w="20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매수인 보호</w:t>
            </w:r>
          </w:p>
        </w:tc>
        <w:tc>
          <w:tcPr>
            <w:tcW w:type="dxa" w:w="20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계약 구조적 문제</w:t>
            </w:r>
          </w:p>
        </w:tc>
        <w:tc>
          <w:tcPr>
            <w:tcW w:type="dxa" w:w="20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법률적 리스크 상세 분석</w:t>
      </w:r>
    </w:p>
    <w:p>
      <w:pPr>
        <w:pStyle w:val="Heading2"/>
      </w:pPr>
      <w:r>
        <w:rPr>
          <w:rFonts w:ascii="Arial" w:cs="Arial" w:eastAsia="Arial" w:hAnsi="Arial"/>
        </w:rPr>
        <w:t xml:space="preserve">2.1 베트남 법률 준수 문제</w:t>
      </w:r>
    </w:p>
    <w:p>
      <w:pPr>
        <w:pStyle w:val="Heading3"/>
      </w:pPr>
      <w:r>
        <w:rPr>
          <w:rFonts w:ascii="Arial" w:cs="Arial" w:eastAsia="Arial" w:hAnsi="Arial"/>
        </w:rPr>
        <w:t xml:space="preserve">2.1.1 [HIGH] Incoterms 버전 미갱신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(제3조)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DAP (Incoterms 2010) 조건으로 거래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현재 Incoterms 2020이 시행 중이며, 2010 버전은 공식적으로 대체됨. 베트남 상법(Luat Thuong mai 2005) 제35조에 따르면 거래 조건은 국제상업회의소(ICC) 현행 규칙을 따라야 함. 구버전 사용 시 분쟁 발생 시 해석상 불이익 발생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DAP (Incoterms 2020)으로 변경. 향후 ICC 규칙 개정 시 자동 적용되도록 '최신 버전의 Incoterms 적용' 문구 추가 권고.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2.1.2 [HIGH] 상법 영어 번역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(전문)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상법(Commercial Law No 36/2005/QH11)을 'Civil Code'로 오역, 시행일을 2016년으로 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영어 번역본에서 상법(Luat Thuong mai)을 민법(Civil Code)으로 잘못 번역하였으며, 시행일도 2006년이 아닌 2016년으로 오기됨. 베트남어 버전이 기준이라 법적 효력에는 영향 제한적이나, 영어권 파트너와의 분쟁 시 혼란 야기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'Commercial Law No 36/2005/QH11 effective from 01/01/2006'으로 정확히 수정. 전문 영어 번역 전반에 대한 법률 전문가 감수 필요.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2.1.3 [HIGH] 위약벌칙 8% 상한액 초과 위험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(제8조), 06a. 가공계약서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납품 지연 시 8% 벌칙, 수량 부족 시 8% 벌칙 (해당일 주문가치 기준)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상법(Luat Thuong mai 2005) 제301조에 따르면 위약벌칙은 계약가치의 8%를 초과할 수 없음. 현행 조항은 '해당일 주문가치'를 기준으로 하여 여러 번 반복 적용 시 총 계약가치의 8%를 초과할 수 있어 법적 무효 가능성 있음.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위약벌칙 총액이 계약가치의 8%를 초과하지 않도록 상한선 명시. '본 계약에 따른 위약벌칙 총액은 계약 총 가치의 8%를 초과할 수 없다' 문구 추가 필요.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2.1.4 [MEDIUM] 분쟁해결 방법의 비일관성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vs 05. 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원칙계약: 인민법원(토안 nhan dan) 관할 / NDA: 베트남 국제중재센터(VIAC) 관할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동일 거래 관계에서 분쟁해결 기관이 상이하면 혼란 발생. 특히 비밀유지 위반과 계약 위반이 동시 발생할 경우, 어느 기관에서 처리할지 불명확함. 또한 중재와 소송은 베트남법상 별개의 절차이며 비용과 시간이 크게 다름.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계약서의 분쟁해결 조항을 통일. 추천: VIAC 중재로 통일하되, 소액 분쟁(예: 1억VND 이하)은 인민법원 관할로 이원화 구조 권고.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2.1.5 [MEDIUM] 개인정보보호법(PDPD) 미반영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계약서 (12개 양식 전부)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개인정보보호법(PDPD, Decree 13/2023/ND-CP)이 2023년 7월부터 시행 중이나, 어떤 계약서에도 개인정보 처리에 대한 조항이 없음. 공급업체 직원 정보, 대표자 정보 등을 처리하므로 PDPD 준수 조항 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각 계약서에 개인정보 처리 조항 추가. 최소한 NDA와 원칙계약서에 PDPD 준수 의무 명시 필요.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2.1.6 [MEDIUM] 보증 기간 미명시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(제5조), 07. 금형 매매 계약서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'제조업체 보증 기준에 따른 보증'으로만 기재, 구체적 기간 미명시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민법 제446조에 따르면 보증 기간은 계약서에 명시되어야 함. '제조업체 보증 기준'은 모호하여 분쟁 시 구매자에게 불리할 수 있음. 특히 금형(Mold)은 고가 자산으로 명확한 보증기간 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보증 기간을 구체적으로 명시(예: '납품일로부터 12개월' 또는 '인수일로부터 24개월'). 금형의 경우 최소 12개월 이상 보증 권고.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2.1.7 [MEDIUM] 불가항력 조항의 불충분성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(제9조)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'천재, 화재, 사고 등'으로만 예시하고, 경제적 불가항력 미포함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민법 제156조에서 불가항력을 정의하고 있으나, 현행 계약서는 자연재해만 예시. 전염병, 정부 제재, 국경 봉쇄, 파업 등 경제적 불가항력 사유가 불명확함. COVID-19 같은 팬데믹도 명시적으로 포함되어야 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불가항력 사유를 구체적으로 열거: 천재지변, 화재, 전염병, 파업, 정부 제재/금수조치, 국경 봉쇄, 공급망 두절, 전염병 등. 베트남 민법 제156조 참조 문구 추가.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국제거래 리스크</w:t>
      </w:r>
    </w:p>
    <w:p>
      <w:pPr>
        <w:pStyle w:val="Heading3"/>
      </w:pPr>
      <w:r>
        <w:rPr>
          <w:rFonts w:ascii="Arial" w:cs="Arial" w:eastAsia="Arial" w:hAnsi="Arial"/>
        </w:rPr>
        <w:t xml:space="preserve">2.2.1 [HIGH] 외국 서비스 계약서의 준거법 불명확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03. 수리 서비스 계약서, 04. 교육 서비스 계약서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외국 업체와의 서비스 계약임에도 준거법이 명확히 명시되지 않음. 국제 거래에서 준거법 미명시는 분쟁 시 어느 나라 법을 적용할지 불확실성 초래. 베트남 국제사법 원칙상 서비스 제공지법이 적용될 수 있어 M&amp;C에 불리할 수 있음.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외국 업체 계약서에 '본 계약은 베트남 법률을 준거법으로 한다' 명시. VIAC 중재 조항 추가.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2.2.2 [HIGH] NDA의 국제적 집행력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05. NDA (비밀유지협약서)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NDA에 위반 시 손해배상액이 명시되지 않음. 외국 업체가 비밀을 유출할 경우 국제적 집행이 어려움. 사전 예방적 구제 수단(injunction)에 대한 조항 부재. 베트남 VIAC 중재판정의 해외 집행 절차가 명시되지 않음.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1) 위반 시 예상 손해배상액(liquidated damages) 명시, 2) 긴급 구제 명령(injunctive relief) 조항 추가, 3) 뉴욕협약(New York Convention) 기반 국제 집행 조항 추가.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2.2.3 [MEDIUM] 통화 및 환율 리스크 미보호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계약서 (특히 03, 04번 외국 업체 계약)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원칙계약서는 VND 결제를 명시하나, 외국 업체 계약에서는 USD/VND 환율 변동 리스크 보호 조항이 없음. 90일 결제 기간 동안 환율 변동으로 인한 손실 발생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외국 업체 계약에 환율 변동 조항 추가. 예: '환율 변동이 주문일 대비 3% 이상인 경우 가격 재협상' 또는 고정환율 조항.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2.2.4 [MEDIUM] 수출입 규제/관세 관련 조항 부재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03, 04, 06a 계약서 (REPAIR, TRAINING, PROCESSING)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외국 업체와의 거래에서 수출입 규제, 관세, 통관 절차에 대한 책임 소재가 불명확. NDA에서 '수출 규정 준수'를 언급하나 구체성 부족. 베트남 가공무역법(Decree 18/2015/ND-CP) 관련 조항 미반영.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관세/통관 책임, 수출입 허가 취득 책임, 미국/EU 제재 대상 여부 확인 의무 등을 명시하는 조항 추가 필요.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매수인(구매자) 보호 미흡 사항</w:t>
      </w:r>
    </w:p>
    <w:p>
      <w:pPr>
        <w:pStyle w:val="Heading3"/>
      </w:pPr>
      <w:r>
        <w:rPr>
          <w:rFonts w:ascii="Arial" w:cs="Arial" w:eastAsia="Arial" w:hAnsi="Arial"/>
        </w:rPr>
        <w:t xml:space="preserve">2.3.1 [HIGH] 지식재산권(IP) 보호 부재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07. 금형 매매 계약서, 06a. 가공 계약서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금형 구매 시 금형 설계 도면, 기술 데이터의 소유권이 명확하지 않음. 가공 계약에서 Party A의 상표 무단 사용 금지는 있으나, 기술 노하우 및 제조 공정 정보의 IP 보호가 부족함. M&amp;C가 비용을 지불하고 개발한 금형의 소유권이 공급업체에 거의 무상 양도될 수 있는 위험.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1) 금형 설계도 및 기술데이터의 소유권이 M&amp;C에 귀속됨을 명시, 2) 계약 종료 시 모든 기술자료 반환 의무, 3) 공급업체의 IP 침해 비면책(indemnification) 조항 추가.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2.3.2 [HIGH] 일방적 해지권의 불균형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(제8조 8.1~8.3)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제8.2조: 양당사자가 1개월 전 통보로 보상 없이 계약 해지 가능. 이는 공급업체가 대규모 생산 중 갑자기 계약을 해지할 수 있어 M&amp;C의 생산라인에 심각한 차질 발생 가능. 반면 제8.3조에서 Party B는 결제 지연 시 보상 없이 해지 가능하여 양당사자 간 권리가 불균형.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1) 제8.2조 무보상 해지 조항 삭제 또는 수정, 2) 해지 시 진행 중인 주문에 대한 처리 조항 추가, 3) Party A의 결제 지연에도 치유기간(grace period) 설정 필요(예: 15일).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2.3.3 [MEDIUM] 품질 검사 기준 및 절차 미비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(제5조, 제7조)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'상품 인수 시 즉시 검사'라고 명시하지만, 구체적인 검사 기준, 허용 불량률, 샘플링 방법, 검사 기간 등이 명시되지 않음. 숨은 하자(사용 중 발견되는 결함)에 대한 청구권 기간도 미명시.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1) 인수 검사 기간 명시(예: 3영업일 이내), 2) 숨은하자 청구기간 명시(예: 발견일로부터 30일 이내), 3) AQL(허용품질수준) 등 구체적 검사 기준 별도 명시 또는 부록으로 차조.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2.3.4 [MEDIUM] 자동갱신 조항의 구매자 불리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01. 원칙계약서 (제10조 10.3)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만료 30일 전 통보 없으면 동일 조건으로 자동 연장. 시장 상황 변화, 공급업체 성과 부진 등의 경우에도 가격 재협상 없이 기존 조건 유지. 특히 90일 결제 조건이 구매자에게 유리한 경우 공급업체가 갱신 시 조건 변경을 요구할 수 있음.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자동갱신 시 가격 조정 메커니즘 추가(예: '갱신 60일 전 가격 재협상 가능'). 연간 성과 평가 후 갱신 여부 결정하는 절차 추가 권고.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2.3.5 [MEDIUM] 손해배상 책임한도(Liability Cap) 부재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계약서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계약서에 간접손해, 결과적 손해에 대한 책임한도가 명시되지 않음. M&amp;C가 공급업체의 하자로 인해 고객사에 손해를 입을 경우 배상 범위가 불명확.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손해배상 범위 명확화: 직접손해, 간접손해, 결과적 손해 구분 명시. M&amp;C를 보호하기 위해 공급업체의 책임한도는 계약가치 이상으로 설정 권고.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2.4 계약 구조적 문제점</w:t>
      </w:r>
    </w:p>
    <w:p>
      <w:pPr>
        <w:pStyle w:val="Heading3"/>
      </w:pPr>
      <w:r>
        <w:rPr>
          <w:rFonts w:ascii="Arial" w:cs="Arial" w:eastAsia="Arial" w:hAnsi="Arial"/>
        </w:rPr>
        <w:t xml:space="preserve">2.4.1 [HIGH] NDA 자동갱신 조항의 불합리성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05. NDA (제9조)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위험 등급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현행 조항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'만료 30일 전 서면 합의 시 연장'으로 기재 – 즐 연장에 양당사자의 합의가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원칙계약서는 통보 없으면 자동갱신인데, NDA는 합의해야 갱신. 담당자가 갱신 합의를 놓치면 NDA가 만료되어 기밀정보 보호가 중단될 수 있음. 원칙계약은 계속 유효한데 NDA는 만료되는 불일치 발생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NDA도 원칙계약과 동일하게 자동갱신 방식으로 변경 권고. 또는 NDA 기간을 원칙계약 유효기간과 연동하는 조항 추가.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2.4.2 [LOW] 비정형적 문서 관리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대상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12개 양식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문제점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DOC, DOCX, XLS, XLSX 등 파일 형식이 혼재. 번호 체계가 비일관적(01~10, 1b 혼용). 문서 버전 관리 체계 부재.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수정안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양식을 DOCX/XLSX 통일 형식으로 변환. 문서번호 체계 통일(MC-PUR-001~012). 버전 관리(개정일, 개정자, 변경이력) 시스템 도입 권고.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종합 수정안 요약</w:t>
      </w:r>
    </w:p>
    <w:p>
      <w:pPr>
        <w:pStyle w:val="Heading2"/>
      </w:pPr>
      <w:r>
        <w:rPr>
          <w:rFonts w:ascii="Arial" w:cs="Arial" w:eastAsia="Arial" w:hAnsi="Arial"/>
        </w:rPr>
        <w:t xml:space="preserve">3.1 즉시 수정 필요 (HIGH 등급)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26"/>
        <w:gridCol w:w="30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사항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Incoterms 버전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2010 → 2020으로 변경, 최신버전 자동적용 문구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법적 불확실성 해소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상법 번역 오류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 Law 정확 번역, 시행일 수정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국제분쟁 시 혼란 방지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위약벌칙 상한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총액 계약가치 8% 상한 명시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상법 준수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외국계약 준거법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베트남법 준거 및 VIAC 중재 명시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분쟁 시 베트남 관할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NDA 집행력 강화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예정손해액, 긴급구제, 국제집행 조항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기밀정보 보호 실효성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IP 보호 강화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금형설계 소유권, 기술자료 반환, 비면책임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핵심자산 보호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해지권 균형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무보상 해지 조항 수정, 치유기간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공급망 안정성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NDA 갱신방식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원칙계약과 동일한 자동갱신으로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비밀보호 공백 방지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개선 권고 (MEDIUM 등급)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26"/>
        <w:gridCol w:w="30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사항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분쟁해결 통일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계약 VIAC 중재로 통일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분쟁해결 효율성 제고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PDPD 준수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개인정보 처리 조항 추가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베트남 개인정보법 준수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보증기간 명시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구체적 기간 및 범위 명시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분쟁 방지, 구매자 보호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불가항력 보완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경제적 불가항력 사유 확대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COVID-19형 위기 대비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환율 보호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환율변동 조항 및 가격 재협상 규정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외환손실 예방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수출입 규제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관세/통관/제재 관련 책임 명시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국제거래 리스크 감소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품질검사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AQL, 검사기간, 숨은하자 청구권 명시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품질분쟁 예방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자동갱신 보완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가격 조정 메커니즘 및 성과평가 반영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 조건 최적화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책임한도 설정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간접/결과적 손해 범위 명확화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분쟁 예방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추가 권고사항</w:t>
      </w:r>
    </w:p>
    <w:p>
      <w:pPr>
        <w:pStyle w:val="Heading2"/>
      </w:pPr>
      <w:r>
        <w:rPr>
          <w:rFonts w:ascii="Arial" w:cs="Arial" w:eastAsia="Arial" w:hAnsi="Arial"/>
        </w:rPr>
        <w:t xml:space="preserve">4.1 베트남 법률 전문가 검토 필요 사항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보고서의 분석은 계약서 문면을 기반으로 한 일반적 법률 검토입니다. 수정안 적용 전 반드시 베트남 현지 법률 전문가(베트남 변호사)의 검토를 받을 것을 권고합니다. 특히 위약벌칙 상한액(상법 제301조), 불가항력 정의(민법 제156조), 개인정보보호법(Decree 13/2023) 관련 조항은 반드시 현지 법률 전문가의 확인이 필요합니다.</w:t>
      </w:r>
    </w:p>
    <w:p>
      <w:pPr>
        <w:pStyle w:val="Heading2"/>
      </w:pPr>
      <w:r>
        <w:rPr>
          <w:rFonts w:ascii="Arial" w:cs="Arial" w:eastAsia="Arial" w:hAnsi="Arial"/>
        </w:rPr>
        <w:t xml:space="preserve">4.2 단기 실행 과제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Incoterms 2010 → 2020 버전 즉시 갱신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영어 번역본의 상법 오역 즈시 수정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NDA 자동갱신 방식 변경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4) 위약벌칙 총액 상한 조항 추가</w:t>
      </w:r>
    </w:p>
    <w:p>
      <w:pPr>
        <w:pStyle w:val="Heading2"/>
      </w:pPr>
      <w:r>
        <w:rPr>
          <w:rFonts w:ascii="Arial" w:cs="Arial" w:eastAsia="Arial" w:hAnsi="Arial"/>
        </w:rPr>
        <w:t xml:space="preserve">4.3 중기 개선 과제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전체 계약서 양식 베트남 법률 전문가 감수 및 개정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PDPD(개인정보보호법) 준수 조항 추가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IP 보호 조항 강화(특히 금형/가공 계약)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4) 외국 업체 계약서의 준거법 및 분쟁해결 조항 통일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5) 품질 검사 기준서(QA Standard) 별도 수립 및 계약서 참조</w:t>
      </w:r>
    </w:p>
    <w:p>
      <w:pPr>
        <w:pStyle w:val="Heading2"/>
      </w:pPr>
      <w:r>
        <w:rPr>
          <w:rFonts w:ascii="Arial" w:cs="Arial" w:eastAsia="Arial" w:hAnsi="Arial"/>
        </w:rPr>
        <w:t xml:space="preserve">4.4 장기 개선 과제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1) 문서관리 시스템(DMS) 도입으로 버전 관리 체계화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2) 모든 양식 DOCX 통일 및 번호체계 표준화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3) 연간 계약서 검토 프로세스 수립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4) 공급업체 성과평가 연동 계약갱신 절차 구축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부록: 참조 법령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법령명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사항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베트남 민법 (Civil Code No 33/2015/QH13)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 일반, 불가항력(제156조), 보증(제446조)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베트남 상법 (Commercial Law No 36/2005/QH11)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상거래 일반, 위약벌칙 상한 8%(제301조)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개인정보보호법 (Decree 13/2023/ND-CP)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개인정보 처리 의무, 2023년 7월 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Incoterms 2020 (ICC)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국제 무역 조건, DAP 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베트남 중재법 (Law on Commercial Arbitration 2010)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VIAC 중재 절차, 국제집행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베트남 가공무역법 (Decree 18/2015/ND-CP)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수출입 가공 규정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New York Convention (1958)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외국 중재판정 승인 및 집행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Bdr>
          <w:top w:val="single" w:color="1F4E79" w:sz="2" w:space="8"/>
        </w:pBdr>
        <w:spacing w:before="6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- 보고서 끝 -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보고서는 계약서 문면 분석을 기반으로 한 일반적 법률 검토입니다. 수정안 적용 전 베트남 현지 법률 전문가의 최종 확인을 권고합니다.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M&amp;C Electronics Vina - 계약서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2026-04-06T02:20:20.686Z</dcterms:created>
  <dcterms:modified xsi:type="dcterms:W3CDTF">2026-04-06T02:20:20.686Z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